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67655778"/>
        <w:docPartObj>
          <w:docPartGallery w:val="Cover Pages"/>
          <w:docPartUnique/>
        </w:docPartObj>
      </w:sdtPr>
      <w:sdtEndPr>
        <w:rPr>
          <w:rFonts w:eastAsia="MS Mincho"/>
        </w:rPr>
      </w:sdtEndPr>
      <w:sdtContent>
        <w:p w14:paraId="49469695" w14:textId="54C280CE" w:rsidR="002C62E9" w:rsidRPr="002C62E9" w:rsidRDefault="002C62E9" w:rsidP="002C62E9">
          <w:pPr>
            <w:rPr>
              <w:rFonts w:ascii="Calibri" w:eastAsia="Calibri" w:hAnsi="Calibri"/>
              <w:b/>
              <w:bCs/>
            </w:rPr>
          </w:pPr>
        </w:p>
        <w:p w14:paraId="61858241" w14:textId="77777777" w:rsidR="00C83A54" w:rsidRPr="002C62E9" w:rsidRDefault="00C83A54" w:rsidP="00C83A54">
          <w:pPr>
            <w:jc w:val="center"/>
            <w:rPr>
              <w:rFonts w:ascii="Calibri" w:eastAsia="Calibri" w:hAnsi="Calibri"/>
              <w:b/>
              <w:bCs/>
            </w:rPr>
          </w:pPr>
          <w:r w:rsidRPr="002C62E9">
            <w:rPr>
              <w:rFonts w:ascii="Calibri" w:eastAsia="Calibri" w:hAnsi="Calibri"/>
              <w:b/>
              <w:bCs/>
            </w:rPr>
            <w:t>Public Consultation</w:t>
          </w:r>
        </w:p>
        <w:p w14:paraId="529ED256" w14:textId="700E03D7" w:rsidR="002C62E9" w:rsidRPr="002C62E9" w:rsidRDefault="002C62E9" w:rsidP="002C62E9">
          <w:pPr>
            <w:jc w:val="center"/>
            <w:rPr>
              <w:rFonts w:ascii="Calibri" w:eastAsia="Calibri" w:hAnsi="Calibri"/>
              <w:b/>
              <w:bCs/>
            </w:rPr>
          </w:pPr>
          <w:r w:rsidRPr="002C62E9">
            <w:rPr>
              <w:rFonts w:ascii="Calibri" w:eastAsia="Calibri" w:hAnsi="Calibri"/>
              <w:b/>
              <w:bCs/>
            </w:rPr>
            <w:t xml:space="preserve">FATF Guidance on Beneficial Ownership (Recommendation 24) </w:t>
          </w:r>
        </w:p>
        <w:p w14:paraId="31F80E33" w14:textId="77777777" w:rsidR="002C62E9" w:rsidRPr="002C62E9" w:rsidRDefault="002C62E9" w:rsidP="002C62E9">
          <w:pPr>
            <w:widowControl/>
            <w:spacing w:after="160" w:line="259" w:lineRule="auto"/>
            <w:jc w:val="left"/>
            <w:rPr>
              <w:rFonts w:ascii="Calibri" w:eastAsia="Calibri" w:hAnsi="Calibri"/>
            </w:rPr>
          </w:pPr>
        </w:p>
        <w:p w14:paraId="14459605" w14:textId="77777777" w:rsidR="002C62E9" w:rsidRPr="002C62E9" w:rsidRDefault="002C62E9" w:rsidP="002C62E9">
          <w:pPr>
            <w:widowControl/>
            <w:spacing w:after="160" w:line="259" w:lineRule="auto"/>
            <w:rPr>
              <w:rFonts w:ascii="Calibri" w:eastAsia="Calibri" w:hAnsi="Calibri"/>
              <w:lang w:val="en-US"/>
            </w:rPr>
          </w:pPr>
          <w:r w:rsidRPr="002C62E9">
            <w:rPr>
              <w:rFonts w:ascii="Calibri" w:eastAsia="Calibri" w:hAnsi="Calibri"/>
              <w:lang w:val="en-US"/>
            </w:rPr>
            <w:t xml:space="preserve">At the March 2022 Plenary, the Financial Action Task Force (FATF) adopted amendments to Recommendation 24, and agreed to immediately start the work to update guidance on beneficial ownership, with a view to help support the implementation of the new requirements. </w:t>
          </w:r>
        </w:p>
        <w:p w14:paraId="4C98E8FA" w14:textId="4B6C5C18" w:rsidR="002C62E9" w:rsidRPr="002C62E9" w:rsidRDefault="002C62E9" w:rsidP="002C62E9">
          <w:pPr>
            <w:widowControl/>
            <w:spacing w:after="160" w:line="259" w:lineRule="auto"/>
            <w:rPr>
              <w:rFonts w:ascii="Calibri" w:eastAsia="Calibri" w:hAnsi="Calibri"/>
              <w:lang w:val="en-US"/>
            </w:rPr>
          </w:pPr>
          <w:r w:rsidRPr="002C62E9">
            <w:rPr>
              <w:rFonts w:ascii="Calibri" w:eastAsia="Calibri" w:hAnsi="Calibri"/>
              <w:lang w:val="en-US"/>
            </w:rPr>
            <w:t>The FATF now welcomes comments to its updated Guidance paper to Recommendation 24 on the transparency and beneficial ownership of legal persons. The draft text of the Guidance is available </w:t>
          </w:r>
          <w:r w:rsidR="00C83A54">
            <w:rPr>
              <w:rFonts w:ascii="Calibri" w:eastAsia="Calibri" w:hAnsi="Calibri"/>
              <w:b/>
              <w:bCs/>
              <w:highlight w:val="yellow"/>
              <w:lang w:val="en-US"/>
            </w:rPr>
            <w:t>below</w:t>
          </w:r>
          <w:r w:rsidRPr="002C62E9">
            <w:rPr>
              <w:rFonts w:ascii="Calibri" w:eastAsia="Calibri" w:hAnsi="Calibri"/>
              <w:b/>
              <w:bCs/>
              <w:highlight w:val="yellow"/>
              <w:lang w:val="en-US"/>
            </w:rPr>
            <w:t>.</w:t>
          </w:r>
          <w:r w:rsidRPr="002C62E9">
            <w:rPr>
              <w:rFonts w:ascii="Calibri" w:eastAsia="Calibri" w:hAnsi="Calibri"/>
              <w:lang w:val="en-US"/>
            </w:rPr>
            <w:t xml:space="preserve">  </w:t>
          </w:r>
        </w:p>
        <w:p w14:paraId="212E8A46" w14:textId="77777777" w:rsidR="002C62E9" w:rsidRPr="002C62E9" w:rsidRDefault="002C62E9" w:rsidP="002C62E9">
          <w:pPr>
            <w:widowControl/>
            <w:spacing w:after="160" w:line="259" w:lineRule="auto"/>
            <w:rPr>
              <w:rFonts w:ascii="Calibri" w:eastAsia="Calibri" w:hAnsi="Calibri"/>
            </w:rPr>
          </w:pPr>
          <w:r w:rsidRPr="002C62E9">
            <w:rPr>
              <w:rFonts w:ascii="Calibri" w:eastAsia="Calibri" w:hAnsi="Calibri"/>
              <w:lang w:val="en-US"/>
            </w:rPr>
            <w:t xml:space="preserve">We seek views from companies and other legal persons, financial institutions, designated non-financial businesses and professions (DNFBPs), and non-profit organisations. However, contributions from other interested stakeholders are also solicited. </w:t>
          </w:r>
          <w:r w:rsidRPr="002C62E9">
            <w:rPr>
              <w:rFonts w:ascii="Calibri" w:eastAsia="Calibri" w:hAnsi="Calibri"/>
            </w:rPr>
            <w:t>In particular, comments are welcome on the following specific issues:</w:t>
          </w:r>
        </w:p>
        <w:p w14:paraId="117B75E6" w14:textId="77777777" w:rsidR="002C62E9" w:rsidRPr="002C62E9" w:rsidRDefault="002C62E9" w:rsidP="00C83A54">
          <w:pPr>
            <w:widowControl/>
            <w:numPr>
              <w:ilvl w:val="0"/>
              <w:numId w:val="72"/>
            </w:numPr>
            <w:tabs>
              <w:tab w:val="clear" w:pos="340"/>
              <w:tab w:val="num" w:pos="39"/>
            </w:tabs>
            <w:spacing w:after="120" w:line="259" w:lineRule="auto"/>
            <w:ind w:left="1060" w:right="680"/>
            <w:jc w:val="left"/>
            <w:rPr>
              <w:rFonts w:ascii="Calibri" w:eastAsia="SimSun" w:hAnsi="Calibri" w:cs="Calibri"/>
            </w:rPr>
          </w:pPr>
          <w:r w:rsidRPr="002C62E9">
            <w:rPr>
              <w:rFonts w:ascii="Calibri" w:eastAsia="SimSun" w:hAnsi="Calibri" w:cs="Calibri"/>
            </w:rPr>
            <w:t>Whether the Guidance is clear or are there any issues which need further clarification.</w:t>
          </w:r>
        </w:p>
        <w:p w14:paraId="4866C38F" w14:textId="77777777" w:rsidR="002C62E9" w:rsidRPr="002C62E9" w:rsidRDefault="002C62E9" w:rsidP="002C62E9">
          <w:pPr>
            <w:widowControl/>
            <w:numPr>
              <w:ilvl w:val="0"/>
              <w:numId w:val="72"/>
            </w:numPr>
            <w:tabs>
              <w:tab w:val="clear" w:pos="340"/>
              <w:tab w:val="num" w:pos="39"/>
            </w:tabs>
            <w:spacing w:after="120" w:line="259" w:lineRule="auto"/>
            <w:ind w:left="1060" w:right="680"/>
            <w:jc w:val="left"/>
            <w:rPr>
              <w:rFonts w:ascii="Calibri" w:eastAsia="SimSun" w:hAnsi="Calibri" w:cs="Calibri"/>
            </w:rPr>
          </w:pPr>
          <w:r w:rsidRPr="002C62E9">
            <w:rPr>
              <w:rFonts w:ascii="Calibri" w:eastAsia="SimSun" w:hAnsi="Calibri" w:cs="Calibri"/>
            </w:rPr>
            <w:t>Are there case examples of registries and alternative mechanisms for holding of accurate, adequate and up-to-date beneficial ownership information?</w:t>
          </w:r>
        </w:p>
        <w:p w14:paraId="296917F9" w14:textId="77777777" w:rsidR="002C62E9" w:rsidRPr="002C62E9" w:rsidRDefault="002C62E9" w:rsidP="002C62E9">
          <w:pPr>
            <w:widowControl/>
            <w:numPr>
              <w:ilvl w:val="0"/>
              <w:numId w:val="72"/>
            </w:numPr>
            <w:tabs>
              <w:tab w:val="clear" w:pos="340"/>
              <w:tab w:val="num" w:pos="39"/>
            </w:tabs>
            <w:spacing w:after="120" w:line="259" w:lineRule="auto"/>
            <w:ind w:left="1060" w:right="680"/>
            <w:jc w:val="left"/>
            <w:rPr>
              <w:rFonts w:ascii="Calibri" w:eastAsia="SimSun" w:hAnsi="Calibri" w:cs="Calibri"/>
            </w:rPr>
          </w:pPr>
          <w:r w:rsidRPr="002C62E9">
            <w:rPr>
              <w:rFonts w:ascii="Calibri" w:eastAsia="SimSun" w:hAnsi="Calibri" w:cs="Calibri"/>
            </w:rPr>
            <w:t>Are there case examples of mechanisms to verify beneficial ownership information in low-risk scenarios?</w:t>
          </w:r>
        </w:p>
        <w:p w14:paraId="3FC968D3" w14:textId="77777777" w:rsidR="002C62E9" w:rsidRPr="002C62E9" w:rsidRDefault="002C62E9" w:rsidP="002C62E9">
          <w:pPr>
            <w:widowControl/>
            <w:numPr>
              <w:ilvl w:val="0"/>
              <w:numId w:val="72"/>
            </w:numPr>
            <w:tabs>
              <w:tab w:val="clear" w:pos="340"/>
              <w:tab w:val="num" w:pos="39"/>
            </w:tabs>
            <w:spacing w:after="120" w:line="259" w:lineRule="auto"/>
            <w:ind w:left="1060" w:right="680"/>
            <w:jc w:val="left"/>
            <w:rPr>
              <w:rFonts w:ascii="Calibri" w:eastAsia="SimSun" w:hAnsi="Calibri" w:cs="Calibri"/>
            </w:rPr>
          </w:pPr>
          <w:r w:rsidRPr="002C62E9">
            <w:rPr>
              <w:rFonts w:ascii="Calibri" w:eastAsia="SimSun" w:hAnsi="Calibri" w:cs="Calibri"/>
            </w:rPr>
            <w:t xml:space="preserve">Are there case examples of the use of information held by stock exchanges for listed companies to meet beneficial ownership information obligations? </w:t>
          </w:r>
        </w:p>
        <w:p w14:paraId="2CC7376D" w14:textId="77777777" w:rsidR="002C62E9" w:rsidRPr="002C62E9" w:rsidRDefault="002C62E9" w:rsidP="002C62E9">
          <w:pPr>
            <w:widowControl/>
            <w:spacing w:after="160" w:line="259" w:lineRule="auto"/>
            <w:rPr>
              <w:rFonts w:ascii="Calibri" w:eastAsia="Calibri" w:hAnsi="Calibri"/>
              <w:lang w:val="en-US"/>
            </w:rPr>
          </w:pPr>
          <w:r w:rsidRPr="002C62E9">
            <w:rPr>
              <w:rFonts w:ascii="Calibri" w:eastAsia="Calibri" w:hAnsi="Calibri"/>
              <w:lang w:val="en-US"/>
            </w:rPr>
            <w:t>Please provide your comments, including any drafting proposals to </w:t>
          </w:r>
          <w:hyperlink r:id="rId9" w:history="1">
            <w:r w:rsidRPr="002C62E9">
              <w:rPr>
                <w:rFonts w:ascii="Calibri" w:eastAsia="Calibri" w:hAnsi="Calibri"/>
                <w:color w:val="0563C1"/>
                <w:u w:val="single"/>
                <w:lang w:val="en-US"/>
              </w:rPr>
              <w:t>FATF.Publicconsultation@fatf-gafi.org</w:t>
            </w:r>
          </w:hyperlink>
          <w:r w:rsidRPr="002C62E9">
            <w:rPr>
              <w:rFonts w:ascii="Calibri" w:eastAsia="Calibri" w:hAnsi="Calibri"/>
              <w:lang w:val="en-US"/>
            </w:rPr>
            <w:t xml:space="preserve"> with the subject-line “Comments of [author] on the draft Amendments to FATF Guidance on Beneficial Ownership (R.24)”, </w:t>
          </w:r>
          <w:r w:rsidRPr="002C62E9">
            <w:rPr>
              <w:rFonts w:ascii="Calibri" w:eastAsia="Calibri" w:hAnsi="Calibri"/>
              <w:b/>
              <w:bCs/>
              <w:lang w:val="en-US"/>
            </w:rPr>
            <w:t>by 6 December (18h00 CET).</w:t>
          </w:r>
          <w:r w:rsidRPr="002C62E9">
            <w:rPr>
              <w:rFonts w:ascii="Calibri" w:eastAsia="Calibri" w:hAnsi="Calibri"/>
              <w:lang w:val="en-US"/>
            </w:rPr>
            <w:t> </w:t>
          </w:r>
        </w:p>
        <w:p w14:paraId="71A62317" w14:textId="77777777" w:rsidR="002C62E9" w:rsidRPr="002C62E9" w:rsidRDefault="002C62E9" w:rsidP="002C62E9">
          <w:pPr>
            <w:widowControl/>
            <w:spacing w:after="160" w:line="259" w:lineRule="auto"/>
            <w:rPr>
              <w:rFonts w:ascii="Calibri" w:eastAsia="Calibri" w:hAnsi="Calibri"/>
              <w:lang w:val="en-US"/>
            </w:rPr>
          </w:pPr>
          <w:r w:rsidRPr="002C62E9">
            <w:rPr>
              <w:rFonts w:ascii="Calibri" w:eastAsia="Calibri" w:hAnsi="Calibri"/>
              <w:lang w:val="en-US"/>
            </w:rPr>
            <w:t xml:space="preserve">While submitting your response, please indicate the name of your organisation, the nature of your business, and your contact details. You may insert any specific drafting proposals directly in the attached text of the draft amendment text in tracked changes. </w:t>
          </w:r>
        </w:p>
        <w:p w14:paraId="0D9D2909" w14:textId="77777777" w:rsidR="002C62E9" w:rsidRPr="002C62E9" w:rsidRDefault="002C62E9" w:rsidP="002C62E9">
          <w:pPr>
            <w:widowControl/>
            <w:spacing w:after="160" w:line="259" w:lineRule="auto"/>
            <w:rPr>
              <w:rFonts w:ascii="Calibri" w:eastAsia="Calibri" w:hAnsi="Calibri"/>
              <w:lang w:val="en-US"/>
            </w:rPr>
          </w:pPr>
          <w:r w:rsidRPr="002C62E9">
            <w:rPr>
              <w:rFonts w:ascii="Calibri" w:eastAsia="Calibri" w:hAnsi="Calibri"/>
              <w:lang w:val="en-US"/>
            </w:rPr>
            <w:t>We will use your contact information only for the purpose of this public consultation and for further engagement with you on this issue.  Your comments will also be shared with the FATF delegations in the course of further revision of the Guidance, unless you indicate otherwise. The FATF will, however, not share this information with third parties without your consent.</w:t>
          </w:r>
        </w:p>
        <w:p w14:paraId="613C0586" w14:textId="77777777" w:rsidR="002C62E9" w:rsidRPr="002C62E9" w:rsidRDefault="002C62E9" w:rsidP="002C62E9">
          <w:pPr>
            <w:widowControl/>
            <w:spacing w:after="160" w:line="259" w:lineRule="auto"/>
            <w:rPr>
              <w:rFonts w:ascii="Calibri" w:eastAsia="Calibri" w:hAnsi="Calibri"/>
              <w:lang w:val="en-US"/>
            </w:rPr>
          </w:pPr>
          <w:r w:rsidRPr="002C62E9">
            <w:rPr>
              <w:rFonts w:ascii="Calibri" w:eastAsia="Calibri" w:hAnsi="Calibri"/>
              <w:lang w:val="en-US"/>
            </w:rPr>
            <w:t>The FATF will consider the views received at its February 2023 meetings.</w:t>
          </w:r>
        </w:p>
        <w:p w14:paraId="56ACDBEA" w14:textId="77777777" w:rsidR="002C62E9" w:rsidRPr="002C62E9" w:rsidRDefault="002C62E9" w:rsidP="002C62E9">
          <w:pPr>
            <w:widowControl/>
            <w:spacing w:after="160" w:line="259" w:lineRule="auto"/>
            <w:rPr>
              <w:rFonts w:ascii="Calibri" w:eastAsia="Calibri" w:hAnsi="Calibri"/>
              <w:lang w:val="en-US"/>
            </w:rPr>
          </w:pPr>
          <w:r w:rsidRPr="002C62E9">
            <w:rPr>
              <w:rFonts w:ascii="Calibri" w:eastAsia="Calibri" w:hAnsi="Calibri"/>
              <w:lang w:val="en-US"/>
            </w:rPr>
            <w:t>We thank you for your contribution and interest in FATF’s work.</w:t>
          </w:r>
        </w:p>
        <w:p w14:paraId="3151C641" w14:textId="77777777" w:rsidR="002C62E9" w:rsidRDefault="002C62E9" w:rsidP="002C62E9">
          <w:pPr>
            <w:rPr>
              <w:lang w:val="en-US"/>
            </w:rPr>
          </w:pPr>
        </w:p>
        <w:p w14:paraId="340BC12C" w14:textId="45CF1F43" w:rsidR="00EC6B4B" w:rsidRPr="002C62E9" w:rsidRDefault="002C62E9" w:rsidP="002C62E9">
          <w:pPr>
            <w:widowControl/>
            <w:jc w:val="left"/>
            <w:rPr>
              <w:rFonts w:eastAsia="MS Mincho"/>
              <w:lang w:val="en-US"/>
            </w:rPr>
          </w:pPr>
          <w:r>
            <w:rPr>
              <w:rFonts w:eastAsia="MS Mincho"/>
              <w:lang w:val="en-US"/>
            </w:rPr>
            <w:br w:type="page"/>
          </w:r>
        </w:p>
      </w:sdtContent>
    </w:sdt>
    <w:p w14:paraId="41FE962B" w14:textId="77777777" w:rsidR="00EC6B4B" w:rsidRDefault="001305B9">
      <w:pPr>
        <w:pStyle w:val="Title"/>
        <w:spacing w:before="480" w:after="240" w:line="240" w:lineRule="exact"/>
        <w:rPr>
          <w:sz w:val="28"/>
          <w:szCs w:val="28"/>
        </w:rPr>
      </w:pPr>
      <w:bookmarkStart w:id="1" w:name="_Toc117503060"/>
      <w:r>
        <w:rPr>
          <w:sz w:val="28"/>
          <w:szCs w:val="28"/>
        </w:rPr>
        <w:lastRenderedPageBreak/>
        <w:t>Draft Guidance on Beneficial Ownership (R.24)</w:t>
      </w:r>
      <w:bookmarkEnd w:id="1"/>
    </w:p>
    <w:p w14:paraId="5ED3B9A6" w14:textId="70BADD91" w:rsidR="00EC6B4B" w:rsidRDefault="002454B1">
      <w:pPr>
        <w:pStyle w:val="Caption"/>
        <w:jc w:val="center"/>
      </w:pPr>
      <w:r>
        <w:t>FOR PUBLIC CONSULTATION</w:t>
      </w:r>
    </w:p>
    <w:p w14:paraId="183DB1FF" w14:textId="77777777" w:rsidR="00EC6B4B" w:rsidRDefault="00EC6B4B"/>
    <w:sdt>
      <w:sdtPr>
        <w:rPr>
          <w:rFonts w:asciiTheme="minorHAnsi" w:eastAsiaTheme="minorHAnsi" w:hAnsiTheme="minorHAnsi" w:cstheme="minorBidi"/>
          <w:b/>
          <w:i w:val="0"/>
          <w:noProof/>
          <w:color w:val="000000" w:themeColor="text1"/>
          <w:sz w:val="24"/>
          <w:szCs w:val="24"/>
          <w:lang w:val="en-US"/>
        </w:rPr>
        <w:id w:val="-85394019"/>
        <w:docPartObj>
          <w:docPartGallery w:val="Table of Contents"/>
          <w:docPartUnique/>
        </w:docPartObj>
      </w:sdtPr>
      <w:sdtEndPr>
        <w:rPr>
          <w:rFonts w:ascii="Times New Roman" w:eastAsia="SimSun" w:hAnsi="Times New Roman" w:cs="Times New Roman"/>
          <w:b w:val="0"/>
          <w:bCs/>
          <w:color w:val="auto"/>
          <w:sz w:val="22"/>
          <w:szCs w:val="22"/>
        </w:rPr>
      </w:sdtEndPr>
      <w:sdtContent>
        <w:p w14:paraId="7D537A5F" w14:textId="77777777" w:rsidR="00EC6B4B" w:rsidRDefault="001305B9">
          <w:pPr>
            <w:pStyle w:val="TOCHeading"/>
            <w:spacing w:before="360" w:after="360"/>
            <w:jc w:val="center"/>
            <w:rPr>
              <w:noProof/>
              <w:sz w:val="24"/>
              <w:szCs w:val="24"/>
              <w:lang w:val="en-US"/>
            </w:rPr>
          </w:pPr>
          <w:r>
            <w:rPr>
              <w:noProof/>
              <w:sz w:val="24"/>
              <w:szCs w:val="24"/>
              <w:lang w:val="en-US"/>
            </w:rPr>
            <w:t>Table of contents</w:t>
          </w:r>
        </w:p>
        <w:p w14:paraId="0A0DA299" w14:textId="31D46841" w:rsidR="00F602E6" w:rsidRDefault="001305B9">
          <w:pPr>
            <w:pStyle w:val="TOC1"/>
            <w:rPr>
              <w:rFonts w:asciiTheme="minorHAnsi" w:eastAsiaTheme="minorEastAsia" w:hAnsiTheme="minorHAnsi" w:cstheme="minorBidi"/>
              <w:b w:val="0"/>
              <w:sz w:val="22"/>
              <w:lang w:val="en-US"/>
            </w:rPr>
          </w:pPr>
          <w:r>
            <w:rPr>
              <w:rFonts w:asciiTheme="majorHAnsi" w:hAnsiTheme="majorHAnsi"/>
              <w:b w:val="0"/>
              <w:color w:val="4E81BD" w:themeColor="accent1"/>
              <w:sz w:val="28"/>
              <w:lang w:val="en-US"/>
            </w:rPr>
            <w:fldChar w:fldCharType="begin"/>
          </w:r>
          <w:r>
            <w:rPr>
              <w:lang w:val="en-US"/>
            </w:rPr>
            <w:instrText xml:space="preserve"> TOC \o "1-4" \h \z \u </w:instrText>
          </w:r>
          <w:r>
            <w:rPr>
              <w:rFonts w:asciiTheme="majorHAnsi" w:hAnsiTheme="majorHAnsi"/>
              <w:b w:val="0"/>
              <w:color w:val="4E81BD" w:themeColor="accent1"/>
              <w:sz w:val="28"/>
              <w:lang w:val="en-US"/>
            </w:rPr>
            <w:fldChar w:fldCharType="separate"/>
          </w:r>
          <w:hyperlink w:anchor="_Toc117503060" w:history="1">
            <w:r w:rsidR="00F602E6" w:rsidRPr="00DF332F">
              <w:rPr>
                <w:rStyle w:val="Hyperlink"/>
              </w:rPr>
              <w:t>Draft Guidance on Beneficial Ownership (R.24)</w:t>
            </w:r>
            <w:r w:rsidR="00F602E6">
              <w:rPr>
                <w:webHidden/>
              </w:rPr>
              <w:tab/>
            </w:r>
            <w:r w:rsidR="00F602E6">
              <w:rPr>
                <w:webHidden/>
              </w:rPr>
              <w:fldChar w:fldCharType="begin"/>
            </w:r>
            <w:r w:rsidR="00F602E6">
              <w:rPr>
                <w:webHidden/>
              </w:rPr>
              <w:instrText xml:space="preserve"> PAGEREF _Toc117503060 \h </w:instrText>
            </w:r>
            <w:r w:rsidR="00F602E6">
              <w:rPr>
                <w:webHidden/>
              </w:rPr>
            </w:r>
            <w:r w:rsidR="00F602E6">
              <w:rPr>
                <w:webHidden/>
              </w:rPr>
              <w:fldChar w:fldCharType="separate"/>
            </w:r>
            <w:r w:rsidR="00F602E6">
              <w:rPr>
                <w:webHidden/>
              </w:rPr>
              <w:t>2</w:t>
            </w:r>
            <w:r w:rsidR="00F602E6">
              <w:rPr>
                <w:webHidden/>
              </w:rPr>
              <w:fldChar w:fldCharType="end"/>
            </w:r>
          </w:hyperlink>
        </w:p>
        <w:p w14:paraId="48237AFC" w14:textId="04A34974" w:rsidR="00F602E6" w:rsidRDefault="005D4834">
          <w:pPr>
            <w:pStyle w:val="TOC1"/>
            <w:rPr>
              <w:rFonts w:asciiTheme="minorHAnsi" w:eastAsiaTheme="minorEastAsia" w:hAnsiTheme="minorHAnsi" w:cstheme="minorBidi"/>
              <w:b w:val="0"/>
              <w:sz w:val="22"/>
              <w:lang w:val="en-US"/>
            </w:rPr>
          </w:pPr>
          <w:hyperlink w:anchor="_Toc117503061" w:history="1">
            <w:r w:rsidR="00F602E6" w:rsidRPr="00DF332F">
              <w:rPr>
                <w:rStyle w:val="Hyperlink"/>
              </w:rPr>
              <w:t>1. Introduction</w:t>
            </w:r>
            <w:r w:rsidR="00F602E6">
              <w:rPr>
                <w:webHidden/>
              </w:rPr>
              <w:tab/>
            </w:r>
            <w:r w:rsidR="00F602E6">
              <w:rPr>
                <w:webHidden/>
              </w:rPr>
              <w:fldChar w:fldCharType="begin"/>
            </w:r>
            <w:r w:rsidR="00F602E6">
              <w:rPr>
                <w:webHidden/>
              </w:rPr>
              <w:instrText xml:space="preserve"> PAGEREF _Toc117503061 \h </w:instrText>
            </w:r>
            <w:r w:rsidR="00F602E6">
              <w:rPr>
                <w:webHidden/>
              </w:rPr>
            </w:r>
            <w:r w:rsidR="00F602E6">
              <w:rPr>
                <w:webHidden/>
              </w:rPr>
              <w:fldChar w:fldCharType="separate"/>
            </w:r>
            <w:r w:rsidR="00F602E6">
              <w:rPr>
                <w:webHidden/>
              </w:rPr>
              <w:t>4</w:t>
            </w:r>
            <w:r w:rsidR="00F602E6">
              <w:rPr>
                <w:webHidden/>
              </w:rPr>
              <w:fldChar w:fldCharType="end"/>
            </w:r>
          </w:hyperlink>
        </w:p>
        <w:p w14:paraId="1431E041" w14:textId="163C7431" w:rsidR="00F602E6" w:rsidRDefault="005D4834">
          <w:pPr>
            <w:pStyle w:val="TOC2"/>
            <w:rPr>
              <w:rFonts w:asciiTheme="minorHAnsi" w:eastAsiaTheme="minorEastAsia" w:hAnsiTheme="minorHAnsi" w:cstheme="minorBidi"/>
              <w:sz w:val="22"/>
              <w:lang w:val="en-US"/>
            </w:rPr>
          </w:pPr>
          <w:hyperlink w:anchor="_Toc117503062" w:history="1">
            <w:r w:rsidR="00F602E6" w:rsidRPr="00DF332F">
              <w:rPr>
                <w:rStyle w:val="Hyperlink"/>
              </w:rPr>
              <w:t>1.1. Revisions to Recommendation 24</w:t>
            </w:r>
            <w:r w:rsidR="00F602E6">
              <w:rPr>
                <w:webHidden/>
              </w:rPr>
              <w:tab/>
            </w:r>
            <w:r w:rsidR="00F602E6">
              <w:rPr>
                <w:webHidden/>
              </w:rPr>
              <w:fldChar w:fldCharType="begin"/>
            </w:r>
            <w:r w:rsidR="00F602E6">
              <w:rPr>
                <w:webHidden/>
              </w:rPr>
              <w:instrText xml:space="preserve"> PAGEREF _Toc117503062 \h </w:instrText>
            </w:r>
            <w:r w:rsidR="00F602E6">
              <w:rPr>
                <w:webHidden/>
              </w:rPr>
            </w:r>
            <w:r w:rsidR="00F602E6">
              <w:rPr>
                <w:webHidden/>
              </w:rPr>
              <w:fldChar w:fldCharType="separate"/>
            </w:r>
            <w:r w:rsidR="00F602E6">
              <w:rPr>
                <w:webHidden/>
              </w:rPr>
              <w:t>5</w:t>
            </w:r>
            <w:r w:rsidR="00F602E6">
              <w:rPr>
                <w:webHidden/>
              </w:rPr>
              <w:fldChar w:fldCharType="end"/>
            </w:r>
          </w:hyperlink>
        </w:p>
        <w:p w14:paraId="5874D4C2" w14:textId="4494BAF5" w:rsidR="00F602E6" w:rsidRDefault="005D4834">
          <w:pPr>
            <w:pStyle w:val="TOC2"/>
            <w:rPr>
              <w:rFonts w:asciiTheme="minorHAnsi" w:eastAsiaTheme="minorEastAsia" w:hAnsiTheme="minorHAnsi" w:cstheme="minorBidi"/>
              <w:sz w:val="22"/>
              <w:lang w:val="en-US"/>
            </w:rPr>
          </w:pPr>
          <w:hyperlink w:anchor="_Toc117503063" w:history="1">
            <w:r w:rsidR="00F602E6" w:rsidRPr="00DF332F">
              <w:rPr>
                <w:rStyle w:val="Hyperlink"/>
              </w:rPr>
              <w:t>1.2. Target Audience and Purpose</w:t>
            </w:r>
            <w:r w:rsidR="00F602E6">
              <w:rPr>
                <w:webHidden/>
              </w:rPr>
              <w:tab/>
            </w:r>
            <w:r w:rsidR="00F602E6">
              <w:rPr>
                <w:webHidden/>
              </w:rPr>
              <w:fldChar w:fldCharType="begin"/>
            </w:r>
            <w:r w:rsidR="00F602E6">
              <w:rPr>
                <w:webHidden/>
              </w:rPr>
              <w:instrText xml:space="preserve"> PAGEREF _Toc117503063 \h </w:instrText>
            </w:r>
            <w:r w:rsidR="00F602E6">
              <w:rPr>
                <w:webHidden/>
              </w:rPr>
            </w:r>
            <w:r w:rsidR="00F602E6">
              <w:rPr>
                <w:webHidden/>
              </w:rPr>
              <w:fldChar w:fldCharType="separate"/>
            </w:r>
            <w:r w:rsidR="00F602E6">
              <w:rPr>
                <w:webHidden/>
              </w:rPr>
              <w:t>7</w:t>
            </w:r>
            <w:r w:rsidR="00F602E6">
              <w:rPr>
                <w:webHidden/>
              </w:rPr>
              <w:fldChar w:fldCharType="end"/>
            </w:r>
          </w:hyperlink>
        </w:p>
        <w:p w14:paraId="15130AB1" w14:textId="18B4F555" w:rsidR="00F602E6" w:rsidRDefault="005D4834">
          <w:pPr>
            <w:pStyle w:val="TOC1"/>
            <w:rPr>
              <w:rFonts w:asciiTheme="minorHAnsi" w:eastAsiaTheme="minorEastAsia" w:hAnsiTheme="minorHAnsi" w:cstheme="minorBidi"/>
              <w:b w:val="0"/>
              <w:sz w:val="22"/>
              <w:lang w:val="en-US"/>
            </w:rPr>
          </w:pPr>
          <w:hyperlink w:anchor="_Toc117503064" w:history="1">
            <w:r w:rsidR="00F602E6" w:rsidRPr="00DF332F">
              <w:rPr>
                <w:rStyle w:val="Hyperlink"/>
              </w:rPr>
              <w:t>2. Understanding and assessing the risks associated with legal persons</w:t>
            </w:r>
            <w:r w:rsidR="00F602E6">
              <w:rPr>
                <w:webHidden/>
              </w:rPr>
              <w:tab/>
            </w:r>
            <w:r w:rsidR="00F602E6">
              <w:rPr>
                <w:webHidden/>
              </w:rPr>
              <w:fldChar w:fldCharType="begin"/>
            </w:r>
            <w:r w:rsidR="00F602E6">
              <w:rPr>
                <w:webHidden/>
              </w:rPr>
              <w:instrText xml:space="preserve"> PAGEREF _Toc117503064 \h </w:instrText>
            </w:r>
            <w:r w:rsidR="00F602E6">
              <w:rPr>
                <w:webHidden/>
              </w:rPr>
            </w:r>
            <w:r w:rsidR="00F602E6">
              <w:rPr>
                <w:webHidden/>
              </w:rPr>
              <w:fldChar w:fldCharType="separate"/>
            </w:r>
            <w:r w:rsidR="00F602E6">
              <w:rPr>
                <w:webHidden/>
              </w:rPr>
              <w:t>9</w:t>
            </w:r>
            <w:r w:rsidR="00F602E6">
              <w:rPr>
                <w:webHidden/>
              </w:rPr>
              <w:fldChar w:fldCharType="end"/>
            </w:r>
          </w:hyperlink>
        </w:p>
        <w:p w14:paraId="168DF794" w14:textId="05F0CF36" w:rsidR="00F602E6" w:rsidRDefault="005D4834">
          <w:pPr>
            <w:pStyle w:val="TOC2"/>
            <w:rPr>
              <w:rFonts w:asciiTheme="minorHAnsi" w:eastAsiaTheme="minorEastAsia" w:hAnsiTheme="minorHAnsi" w:cstheme="minorBidi"/>
              <w:sz w:val="22"/>
              <w:lang w:val="en-US"/>
            </w:rPr>
          </w:pPr>
          <w:hyperlink w:anchor="_Toc117503065" w:history="1">
            <w:r w:rsidR="00F602E6" w:rsidRPr="00DF332F">
              <w:rPr>
                <w:rStyle w:val="Hyperlink"/>
              </w:rPr>
              <w:t>2.1. Domestic legal persons</w:t>
            </w:r>
            <w:r w:rsidR="00F602E6">
              <w:rPr>
                <w:webHidden/>
              </w:rPr>
              <w:tab/>
            </w:r>
            <w:r w:rsidR="00F602E6">
              <w:rPr>
                <w:webHidden/>
              </w:rPr>
              <w:fldChar w:fldCharType="begin"/>
            </w:r>
            <w:r w:rsidR="00F602E6">
              <w:rPr>
                <w:webHidden/>
              </w:rPr>
              <w:instrText xml:space="preserve"> PAGEREF _Toc117503065 \h </w:instrText>
            </w:r>
            <w:r w:rsidR="00F602E6">
              <w:rPr>
                <w:webHidden/>
              </w:rPr>
            </w:r>
            <w:r w:rsidR="00F602E6">
              <w:rPr>
                <w:webHidden/>
              </w:rPr>
              <w:fldChar w:fldCharType="separate"/>
            </w:r>
            <w:r w:rsidR="00F602E6">
              <w:rPr>
                <w:webHidden/>
              </w:rPr>
              <w:t>9</w:t>
            </w:r>
            <w:r w:rsidR="00F602E6">
              <w:rPr>
                <w:webHidden/>
              </w:rPr>
              <w:fldChar w:fldCharType="end"/>
            </w:r>
          </w:hyperlink>
        </w:p>
        <w:p w14:paraId="5F5FA2FC" w14:textId="14934261" w:rsidR="00F602E6" w:rsidRDefault="005D4834">
          <w:pPr>
            <w:pStyle w:val="TOC2"/>
            <w:rPr>
              <w:rFonts w:asciiTheme="minorHAnsi" w:eastAsiaTheme="minorEastAsia" w:hAnsiTheme="minorHAnsi" w:cstheme="minorBidi"/>
              <w:sz w:val="22"/>
              <w:lang w:val="en-US"/>
            </w:rPr>
          </w:pPr>
          <w:hyperlink w:anchor="_Toc117503066" w:history="1">
            <w:r w:rsidR="00F602E6" w:rsidRPr="00DF332F">
              <w:rPr>
                <w:rStyle w:val="Hyperlink"/>
              </w:rPr>
              <w:t>2.2. Foreign legal persons</w:t>
            </w:r>
            <w:r w:rsidR="00F602E6">
              <w:rPr>
                <w:webHidden/>
              </w:rPr>
              <w:tab/>
            </w:r>
            <w:r w:rsidR="00F602E6">
              <w:rPr>
                <w:webHidden/>
              </w:rPr>
              <w:fldChar w:fldCharType="begin"/>
            </w:r>
            <w:r w:rsidR="00F602E6">
              <w:rPr>
                <w:webHidden/>
              </w:rPr>
              <w:instrText xml:space="preserve"> PAGEREF _Toc117503066 \h </w:instrText>
            </w:r>
            <w:r w:rsidR="00F602E6">
              <w:rPr>
                <w:webHidden/>
              </w:rPr>
            </w:r>
            <w:r w:rsidR="00F602E6">
              <w:rPr>
                <w:webHidden/>
              </w:rPr>
              <w:fldChar w:fldCharType="separate"/>
            </w:r>
            <w:r w:rsidR="00F602E6">
              <w:rPr>
                <w:webHidden/>
              </w:rPr>
              <w:t>9</w:t>
            </w:r>
            <w:r w:rsidR="00F602E6">
              <w:rPr>
                <w:webHidden/>
              </w:rPr>
              <w:fldChar w:fldCharType="end"/>
            </w:r>
          </w:hyperlink>
        </w:p>
        <w:p w14:paraId="72FC7C8E" w14:textId="19EB196F" w:rsidR="00F602E6" w:rsidRDefault="005D4834">
          <w:pPr>
            <w:pStyle w:val="TOC2"/>
            <w:rPr>
              <w:rFonts w:asciiTheme="minorHAnsi" w:eastAsiaTheme="minorEastAsia" w:hAnsiTheme="minorHAnsi" w:cstheme="minorBidi"/>
              <w:sz w:val="22"/>
              <w:lang w:val="en-US"/>
            </w:rPr>
          </w:pPr>
          <w:hyperlink w:anchor="_Toc117503067" w:history="1">
            <w:r w:rsidR="00F602E6" w:rsidRPr="00DF332F">
              <w:rPr>
                <w:rStyle w:val="Hyperlink"/>
              </w:rPr>
              <w:t>2.3. Risk assessment</w:t>
            </w:r>
            <w:r w:rsidR="00F602E6">
              <w:rPr>
                <w:webHidden/>
              </w:rPr>
              <w:tab/>
            </w:r>
            <w:r w:rsidR="00F602E6">
              <w:rPr>
                <w:webHidden/>
              </w:rPr>
              <w:fldChar w:fldCharType="begin"/>
            </w:r>
            <w:r w:rsidR="00F602E6">
              <w:rPr>
                <w:webHidden/>
              </w:rPr>
              <w:instrText xml:space="preserve"> PAGEREF _Toc117503067 \h </w:instrText>
            </w:r>
            <w:r w:rsidR="00F602E6">
              <w:rPr>
                <w:webHidden/>
              </w:rPr>
            </w:r>
            <w:r w:rsidR="00F602E6">
              <w:rPr>
                <w:webHidden/>
              </w:rPr>
              <w:fldChar w:fldCharType="separate"/>
            </w:r>
            <w:r w:rsidR="00F602E6">
              <w:rPr>
                <w:webHidden/>
              </w:rPr>
              <w:t>10</w:t>
            </w:r>
            <w:r w:rsidR="00F602E6">
              <w:rPr>
                <w:webHidden/>
              </w:rPr>
              <w:fldChar w:fldCharType="end"/>
            </w:r>
          </w:hyperlink>
        </w:p>
        <w:p w14:paraId="5B4339B6" w14:textId="687BCED7" w:rsidR="00F602E6" w:rsidRDefault="005D4834">
          <w:pPr>
            <w:pStyle w:val="TOC2"/>
            <w:rPr>
              <w:rFonts w:asciiTheme="minorHAnsi" w:eastAsiaTheme="minorEastAsia" w:hAnsiTheme="minorHAnsi" w:cstheme="minorBidi"/>
              <w:sz w:val="22"/>
              <w:lang w:val="en-US"/>
            </w:rPr>
          </w:pPr>
          <w:hyperlink w:anchor="_Toc117503068" w:history="1">
            <w:r w:rsidR="00F602E6" w:rsidRPr="00DF332F">
              <w:rPr>
                <w:rStyle w:val="Hyperlink"/>
              </w:rPr>
              <w:t>2.4. Risk mitigation</w:t>
            </w:r>
            <w:r w:rsidR="00F602E6">
              <w:rPr>
                <w:webHidden/>
              </w:rPr>
              <w:tab/>
            </w:r>
            <w:r w:rsidR="00F602E6">
              <w:rPr>
                <w:webHidden/>
              </w:rPr>
              <w:fldChar w:fldCharType="begin"/>
            </w:r>
            <w:r w:rsidR="00F602E6">
              <w:rPr>
                <w:webHidden/>
              </w:rPr>
              <w:instrText xml:space="preserve"> PAGEREF _Toc117503068 \h </w:instrText>
            </w:r>
            <w:r w:rsidR="00F602E6">
              <w:rPr>
                <w:webHidden/>
              </w:rPr>
            </w:r>
            <w:r w:rsidR="00F602E6">
              <w:rPr>
                <w:webHidden/>
              </w:rPr>
              <w:fldChar w:fldCharType="separate"/>
            </w:r>
            <w:r w:rsidR="00F602E6">
              <w:rPr>
                <w:webHidden/>
              </w:rPr>
              <w:t>10</w:t>
            </w:r>
            <w:r w:rsidR="00F602E6">
              <w:rPr>
                <w:webHidden/>
              </w:rPr>
              <w:fldChar w:fldCharType="end"/>
            </w:r>
          </w:hyperlink>
        </w:p>
        <w:p w14:paraId="3D09EB23" w14:textId="43DA63FD" w:rsidR="00F602E6" w:rsidRDefault="005D4834">
          <w:pPr>
            <w:pStyle w:val="TOC2"/>
            <w:rPr>
              <w:rFonts w:asciiTheme="minorHAnsi" w:eastAsiaTheme="minorEastAsia" w:hAnsiTheme="minorHAnsi" w:cstheme="minorBidi"/>
              <w:sz w:val="22"/>
              <w:lang w:val="en-US"/>
            </w:rPr>
          </w:pPr>
          <w:hyperlink w:anchor="_Toc117503069" w:history="1">
            <w:r w:rsidR="00F602E6" w:rsidRPr="00DF332F">
              <w:rPr>
                <w:rStyle w:val="Hyperlink"/>
              </w:rPr>
              <w:t>2.5. Understanding and addressing cross-border risks</w:t>
            </w:r>
            <w:r w:rsidR="00F602E6">
              <w:rPr>
                <w:webHidden/>
              </w:rPr>
              <w:tab/>
            </w:r>
            <w:r w:rsidR="00F602E6">
              <w:rPr>
                <w:webHidden/>
              </w:rPr>
              <w:fldChar w:fldCharType="begin"/>
            </w:r>
            <w:r w:rsidR="00F602E6">
              <w:rPr>
                <w:webHidden/>
              </w:rPr>
              <w:instrText xml:space="preserve"> PAGEREF _Toc117503069 \h </w:instrText>
            </w:r>
            <w:r w:rsidR="00F602E6">
              <w:rPr>
                <w:webHidden/>
              </w:rPr>
            </w:r>
            <w:r w:rsidR="00F602E6">
              <w:rPr>
                <w:webHidden/>
              </w:rPr>
              <w:fldChar w:fldCharType="separate"/>
            </w:r>
            <w:r w:rsidR="00F602E6">
              <w:rPr>
                <w:webHidden/>
              </w:rPr>
              <w:t>11</w:t>
            </w:r>
            <w:r w:rsidR="00F602E6">
              <w:rPr>
                <w:webHidden/>
              </w:rPr>
              <w:fldChar w:fldCharType="end"/>
            </w:r>
          </w:hyperlink>
        </w:p>
        <w:p w14:paraId="408E6665" w14:textId="60D415E5" w:rsidR="00F602E6" w:rsidRDefault="005D4834">
          <w:pPr>
            <w:pStyle w:val="TOC2"/>
            <w:rPr>
              <w:rFonts w:asciiTheme="minorHAnsi" w:eastAsiaTheme="minorEastAsia" w:hAnsiTheme="minorHAnsi" w:cstheme="minorBidi"/>
              <w:sz w:val="22"/>
              <w:lang w:val="en-US"/>
            </w:rPr>
          </w:pPr>
          <w:hyperlink w:anchor="_Toc117503070" w:history="1">
            <w:r w:rsidR="00F602E6" w:rsidRPr="00DF332F">
              <w:rPr>
                <w:rStyle w:val="Hyperlink"/>
              </w:rPr>
              <w:t>2.6. Sharing and disseminating results of the risk assessment</w:t>
            </w:r>
            <w:r w:rsidR="00F602E6">
              <w:rPr>
                <w:webHidden/>
              </w:rPr>
              <w:tab/>
            </w:r>
            <w:r w:rsidR="00F602E6">
              <w:rPr>
                <w:webHidden/>
              </w:rPr>
              <w:fldChar w:fldCharType="begin"/>
            </w:r>
            <w:r w:rsidR="00F602E6">
              <w:rPr>
                <w:webHidden/>
              </w:rPr>
              <w:instrText xml:space="preserve"> PAGEREF _Toc117503070 \h </w:instrText>
            </w:r>
            <w:r w:rsidR="00F602E6">
              <w:rPr>
                <w:webHidden/>
              </w:rPr>
            </w:r>
            <w:r w:rsidR="00F602E6">
              <w:rPr>
                <w:webHidden/>
              </w:rPr>
              <w:fldChar w:fldCharType="separate"/>
            </w:r>
            <w:r w:rsidR="00F602E6">
              <w:rPr>
                <w:webHidden/>
              </w:rPr>
              <w:t>11</w:t>
            </w:r>
            <w:r w:rsidR="00F602E6">
              <w:rPr>
                <w:webHidden/>
              </w:rPr>
              <w:fldChar w:fldCharType="end"/>
            </w:r>
          </w:hyperlink>
        </w:p>
        <w:p w14:paraId="31FB11E0" w14:textId="7CDB7431" w:rsidR="00F602E6" w:rsidRDefault="005D4834">
          <w:pPr>
            <w:pStyle w:val="TOC1"/>
            <w:rPr>
              <w:rFonts w:asciiTheme="minorHAnsi" w:eastAsiaTheme="minorEastAsia" w:hAnsiTheme="minorHAnsi" w:cstheme="minorBidi"/>
              <w:b w:val="0"/>
              <w:sz w:val="22"/>
              <w:lang w:val="en-US"/>
            </w:rPr>
          </w:pPr>
          <w:hyperlink w:anchor="_Toc117503071" w:history="1">
            <w:r w:rsidR="00F602E6" w:rsidRPr="00DF332F">
              <w:rPr>
                <w:rStyle w:val="Hyperlink"/>
              </w:rPr>
              <w:t>3. Basic information</w:t>
            </w:r>
            <w:r w:rsidR="00F602E6">
              <w:rPr>
                <w:webHidden/>
              </w:rPr>
              <w:tab/>
            </w:r>
            <w:r w:rsidR="00F602E6">
              <w:rPr>
                <w:webHidden/>
              </w:rPr>
              <w:fldChar w:fldCharType="begin"/>
            </w:r>
            <w:r w:rsidR="00F602E6">
              <w:rPr>
                <w:webHidden/>
              </w:rPr>
              <w:instrText xml:space="preserve"> PAGEREF _Toc117503071 \h </w:instrText>
            </w:r>
            <w:r w:rsidR="00F602E6">
              <w:rPr>
                <w:webHidden/>
              </w:rPr>
            </w:r>
            <w:r w:rsidR="00F602E6">
              <w:rPr>
                <w:webHidden/>
              </w:rPr>
              <w:fldChar w:fldCharType="separate"/>
            </w:r>
            <w:r w:rsidR="00F602E6">
              <w:rPr>
                <w:webHidden/>
              </w:rPr>
              <w:t>11</w:t>
            </w:r>
            <w:r w:rsidR="00F602E6">
              <w:rPr>
                <w:webHidden/>
              </w:rPr>
              <w:fldChar w:fldCharType="end"/>
            </w:r>
          </w:hyperlink>
        </w:p>
        <w:p w14:paraId="07E98868" w14:textId="0A8E4F6E" w:rsidR="00F602E6" w:rsidRDefault="005D4834">
          <w:pPr>
            <w:pStyle w:val="TOC2"/>
            <w:rPr>
              <w:rFonts w:asciiTheme="minorHAnsi" w:eastAsiaTheme="minorEastAsia" w:hAnsiTheme="minorHAnsi" w:cstheme="minorBidi"/>
              <w:sz w:val="22"/>
              <w:lang w:val="en-US"/>
            </w:rPr>
          </w:pPr>
          <w:hyperlink w:anchor="_Toc117503072" w:history="1">
            <w:r w:rsidR="00F602E6" w:rsidRPr="00DF332F">
              <w:rPr>
                <w:rStyle w:val="Hyperlink"/>
              </w:rPr>
              <w:t>3.1. Company registries</w:t>
            </w:r>
            <w:r w:rsidR="00F602E6">
              <w:rPr>
                <w:webHidden/>
              </w:rPr>
              <w:tab/>
            </w:r>
            <w:r w:rsidR="00F602E6">
              <w:rPr>
                <w:webHidden/>
              </w:rPr>
              <w:fldChar w:fldCharType="begin"/>
            </w:r>
            <w:r w:rsidR="00F602E6">
              <w:rPr>
                <w:webHidden/>
              </w:rPr>
              <w:instrText xml:space="preserve"> PAGEREF _Toc117503072 \h </w:instrText>
            </w:r>
            <w:r w:rsidR="00F602E6">
              <w:rPr>
                <w:webHidden/>
              </w:rPr>
            </w:r>
            <w:r w:rsidR="00F602E6">
              <w:rPr>
                <w:webHidden/>
              </w:rPr>
              <w:fldChar w:fldCharType="separate"/>
            </w:r>
            <w:r w:rsidR="00F602E6">
              <w:rPr>
                <w:webHidden/>
              </w:rPr>
              <w:t>11</w:t>
            </w:r>
            <w:r w:rsidR="00F602E6">
              <w:rPr>
                <w:webHidden/>
              </w:rPr>
              <w:fldChar w:fldCharType="end"/>
            </w:r>
          </w:hyperlink>
        </w:p>
        <w:p w14:paraId="2522C2F1" w14:textId="77E9CDB7" w:rsidR="00F602E6" w:rsidRDefault="005D4834">
          <w:pPr>
            <w:pStyle w:val="TOC2"/>
            <w:rPr>
              <w:rFonts w:asciiTheme="minorHAnsi" w:eastAsiaTheme="minorEastAsia" w:hAnsiTheme="minorHAnsi" w:cstheme="minorBidi"/>
              <w:sz w:val="22"/>
              <w:lang w:val="en-US"/>
            </w:rPr>
          </w:pPr>
          <w:hyperlink w:anchor="_Toc117503073" w:history="1">
            <w:r w:rsidR="00F602E6" w:rsidRPr="00DF332F">
              <w:rPr>
                <w:rStyle w:val="Hyperlink"/>
              </w:rPr>
              <w:t>3.2. Companies</w:t>
            </w:r>
            <w:r w:rsidR="00F602E6">
              <w:rPr>
                <w:webHidden/>
              </w:rPr>
              <w:tab/>
            </w:r>
            <w:r w:rsidR="00F602E6">
              <w:rPr>
                <w:webHidden/>
              </w:rPr>
              <w:fldChar w:fldCharType="begin"/>
            </w:r>
            <w:r w:rsidR="00F602E6">
              <w:rPr>
                <w:webHidden/>
              </w:rPr>
              <w:instrText xml:space="preserve"> PAGEREF _Toc117503073 \h </w:instrText>
            </w:r>
            <w:r w:rsidR="00F602E6">
              <w:rPr>
                <w:webHidden/>
              </w:rPr>
            </w:r>
            <w:r w:rsidR="00F602E6">
              <w:rPr>
                <w:webHidden/>
              </w:rPr>
              <w:fldChar w:fldCharType="separate"/>
            </w:r>
            <w:r w:rsidR="00F602E6">
              <w:rPr>
                <w:webHidden/>
              </w:rPr>
              <w:t>12</w:t>
            </w:r>
            <w:r w:rsidR="00F602E6">
              <w:rPr>
                <w:webHidden/>
              </w:rPr>
              <w:fldChar w:fldCharType="end"/>
            </w:r>
          </w:hyperlink>
        </w:p>
        <w:p w14:paraId="419D6421" w14:textId="7215C75C" w:rsidR="00F602E6" w:rsidRDefault="005D4834">
          <w:pPr>
            <w:pStyle w:val="TOC1"/>
            <w:rPr>
              <w:rFonts w:asciiTheme="minorHAnsi" w:eastAsiaTheme="minorEastAsia" w:hAnsiTheme="minorHAnsi" w:cstheme="minorBidi"/>
              <w:b w:val="0"/>
              <w:sz w:val="22"/>
              <w:lang w:val="en-US"/>
            </w:rPr>
          </w:pPr>
          <w:hyperlink w:anchor="_Toc117503074" w:history="1">
            <w:r w:rsidR="00F602E6" w:rsidRPr="00DF332F">
              <w:rPr>
                <w:rStyle w:val="Hyperlink"/>
                <w:rFonts w:eastAsia="Calibri"/>
              </w:rPr>
              <w:t>4.</w:t>
            </w:r>
            <w:r w:rsidR="00F602E6" w:rsidRPr="00DF332F">
              <w:rPr>
                <w:rStyle w:val="Hyperlink"/>
              </w:rPr>
              <w:t xml:space="preserve"> Beneficial ownership information</w:t>
            </w:r>
            <w:r w:rsidR="00F602E6">
              <w:rPr>
                <w:webHidden/>
              </w:rPr>
              <w:tab/>
            </w:r>
            <w:r w:rsidR="00F602E6">
              <w:rPr>
                <w:webHidden/>
              </w:rPr>
              <w:fldChar w:fldCharType="begin"/>
            </w:r>
            <w:r w:rsidR="00F602E6">
              <w:rPr>
                <w:webHidden/>
              </w:rPr>
              <w:instrText xml:space="preserve"> PAGEREF _Toc117503074 \h </w:instrText>
            </w:r>
            <w:r w:rsidR="00F602E6">
              <w:rPr>
                <w:webHidden/>
              </w:rPr>
            </w:r>
            <w:r w:rsidR="00F602E6">
              <w:rPr>
                <w:webHidden/>
              </w:rPr>
              <w:fldChar w:fldCharType="separate"/>
            </w:r>
            <w:r w:rsidR="00F602E6">
              <w:rPr>
                <w:webHidden/>
              </w:rPr>
              <w:t>13</w:t>
            </w:r>
            <w:r w:rsidR="00F602E6">
              <w:rPr>
                <w:webHidden/>
              </w:rPr>
              <w:fldChar w:fldCharType="end"/>
            </w:r>
          </w:hyperlink>
        </w:p>
        <w:p w14:paraId="4E1711E4" w14:textId="4883A3AF" w:rsidR="00F602E6" w:rsidRDefault="005D4834">
          <w:pPr>
            <w:pStyle w:val="TOC2"/>
            <w:rPr>
              <w:rFonts w:asciiTheme="minorHAnsi" w:eastAsiaTheme="minorEastAsia" w:hAnsiTheme="minorHAnsi" w:cstheme="minorBidi"/>
              <w:sz w:val="22"/>
              <w:lang w:val="en-US"/>
            </w:rPr>
          </w:pPr>
          <w:hyperlink w:anchor="_Toc117503075" w:history="1">
            <w:r w:rsidR="00F602E6" w:rsidRPr="00DF332F">
              <w:rPr>
                <w:rStyle w:val="Hyperlink"/>
              </w:rPr>
              <w:t>4.1. Distinction between legal ownership and beneficial ownership</w:t>
            </w:r>
            <w:r w:rsidR="00F602E6">
              <w:rPr>
                <w:webHidden/>
              </w:rPr>
              <w:tab/>
            </w:r>
            <w:r w:rsidR="00F602E6">
              <w:rPr>
                <w:webHidden/>
              </w:rPr>
              <w:fldChar w:fldCharType="begin"/>
            </w:r>
            <w:r w:rsidR="00F602E6">
              <w:rPr>
                <w:webHidden/>
              </w:rPr>
              <w:instrText xml:space="preserve"> PAGEREF _Toc117503075 \h </w:instrText>
            </w:r>
            <w:r w:rsidR="00F602E6">
              <w:rPr>
                <w:webHidden/>
              </w:rPr>
            </w:r>
            <w:r w:rsidR="00F602E6">
              <w:rPr>
                <w:webHidden/>
              </w:rPr>
              <w:fldChar w:fldCharType="separate"/>
            </w:r>
            <w:r w:rsidR="00F602E6">
              <w:rPr>
                <w:webHidden/>
              </w:rPr>
              <w:t>14</w:t>
            </w:r>
            <w:r w:rsidR="00F602E6">
              <w:rPr>
                <w:webHidden/>
              </w:rPr>
              <w:fldChar w:fldCharType="end"/>
            </w:r>
          </w:hyperlink>
        </w:p>
        <w:p w14:paraId="661631BD" w14:textId="3E918D0A" w:rsidR="00F602E6" w:rsidRDefault="005D4834">
          <w:pPr>
            <w:pStyle w:val="TOC2"/>
            <w:rPr>
              <w:rFonts w:asciiTheme="minorHAnsi" w:eastAsiaTheme="minorEastAsia" w:hAnsiTheme="minorHAnsi" w:cstheme="minorBidi"/>
              <w:sz w:val="22"/>
              <w:lang w:val="en-US"/>
            </w:rPr>
          </w:pPr>
          <w:hyperlink w:anchor="_Toc117503076" w:history="1">
            <w:r w:rsidR="00F602E6" w:rsidRPr="00DF332F">
              <w:rPr>
                <w:rStyle w:val="Hyperlink"/>
              </w:rPr>
              <w:t>4.2. Beneficial ownership through ownership interests</w:t>
            </w:r>
            <w:r w:rsidR="00F602E6">
              <w:rPr>
                <w:webHidden/>
              </w:rPr>
              <w:tab/>
            </w:r>
            <w:r w:rsidR="00F602E6">
              <w:rPr>
                <w:webHidden/>
              </w:rPr>
              <w:fldChar w:fldCharType="begin"/>
            </w:r>
            <w:r w:rsidR="00F602E6">
              <w:rPr>
                <w:webHidden/>
              </w:rPr>
              <w:instrText xml:space="preserve"> PAGEREF _Toc117503076 \h </w:instrText>
            </w:r>
            <w:r w:rsidR="00F602E6">
              <w:rPr>
                <w:webHidden/>
              </w:rPr>
            </w:r>
            <w:r w:rsidR="00F602E6">
              <w:rPr>
                <w:webHidden/>
              </w:rPr>
              <w:fldChar w:fldCharType="separate"/>
            </w:r>
            <w:r w:rsidR="00F602E6">
              <w:rPr>
                <w:webHidden/>
              </w:rPr>
              <w:t>14</w:t>
            </w:r>
            <w:r w:rsidR="00F602E6">
              <w:rPr>
                <w:webHidden/>
              </w:rPr>
              <w:fldChar w:fldCharType="end"/>
            </w:r>
          </w:hyperlink>
        </w:p>
        <w:p w14:paraId="7C7F1EA9" w14:textId="0CF87118" w:rsidR="00F602E6" w:rsidRDefault="005D4834">
          <w:pPr>
            <w:pStyle w:val="TOC2"/>
            <w:rPr>
              <w:rFonts w:asciiTheme="minorHAnsi" w:eastAsiaTheme="minorEastAsia" w:hAnsiTheme="minorHAnsi" w:cstheme="minorBidi"/>
              <w:sz w:val="22"/>
              <w:lang w:val="en-US"/>
            </w:rPr>
          </w:pPr>
          <w:hyperlink w:anchor="_Toc117503077" w:history="1">
            <w:r w:rsidR="00F602E6" w:rsidRPr="00DF332F">
              <w:rPr>
                <w:rStyle w:val="Hyperlink"/>
              </w:rPr>
              <w:t>4.3. Beneficial Ownership through Control/Other Means (“beyond the threshold”)</w:t>
            </w:r>
            <w:r w:rsidR="00F602E6">
              <w:rPr>
                <w:webHidden/>
              </w:rPr>
              <w:tab/>
            </w:r>
            <w:r w:rsidR="00F602E6">
              <w:rPr>
                <w:webHidden/>
              </w:rPr>
              <w:fldChar w:fldCharType="begin"/>
            </w:r>
            <w:r w:rsidR="00F602E6">
              <w:rPr>
                <w:webHidden/>
              </w:rPr>
              <w:instrText xml:space="preserve"> PAGEREF _Toc117503077 \h </w:instrText>
            </w:r>
            <w:r w:rsidR="00F602E6">
              <w:rPr>
                <w:webHidden/>
              </w:rPr>
            </w:r>
            <w:r w:rsidR="00F602E6">
              <w:rPr>
                <w:webHidden/>
              </w:rPr>
              <w:fldChar w:fldCharType="separate"/>
            </w:r>
            <w:r w:rsidR="00F602E6">
              <w:rPr>
                <w:webHidden/>
              </w:rPr>
              <w:t>16</w:t>
            </w:r>
            <w:r w:rsidR="00F602E6">
              <w:rPr>
                <w:webHidden/>
              </w:rPr>
              <w:fldChar w:fldCharType="end"/>
            </w:r>
          </w:hyperlink>
        </w:p>
        <w:p w14:paraId="33C83507" w14:textId="2FB22E51" w:rsidR="00F602E6" w:rsidRDefault="005D4834">
          <w:pPr>
            <w:pStyle w:val="TOC2"/>
            <w:rPr>
              <w:rFonts w:asciiTheme="minorHAnsi" w:eastAsiaTheme="minorEastAsia" w:hAnsiTheme="minorHAnsi" w:cstheme="minorBidi"/>
              <w:sz w:val="22"/>
              <w:lang w:val="en-US"/>
            </w:rPr>
          </w:pPr>
          <w:hyperlink w:anchor="_Toc117503078" w:history="1">
            <w:r w:rsidR="00F602E6" w:rsidRPr="00DF332F">
              <w:rPr>
                <w:rStyle w:val="Hyperlink"/>
              </w:rPr>
              <w:t>4.4. Beneficial ownership in respect of different types of legal persons</w:t>
            </w:r>
            <w:r w:rsidR="00F602E6">
              <w:rPr>
                <w:webHidden/>
              </w:rPr>
              <w:tab/>
            </w:r>
            <w:r w:rsidR="00F602E6">
              <w:rPr>
                <w:webHidden/>
              </w:rPr>
              <w:fldChar w:fldCharType="begin"/>
            </w:r>
            <w:r w:rsidR="00F602E6">
              <w:rPr>
                <w:webHidden/>
              </w:rPr>
              <w:instrText xml:space="preserve"> PAGEREF _Toc117503078 \h </w:instrText>
            </w:r>
            <w:r w:rsidR="00F602E6">
              <w:rPr>
                <w:webHidden/>
              </w:rPr>
            </w:r>
            <w:r w:rsidR="00F602E6">
              <w:rPr>
                <w:webHidden/>
              </w:rPr>
              <w:fldChar w:fldCharType="separate"/>
            </w:r>
            <w:r w:rsidR="00F602E6">
              <w:rPr>
                <w:webHidden/>
              </w:rPr>
              <w:t>16</w:t>
            </w:r>
            <w:r w:rsidR="00F602E6">
              <w:rPr>
                <w:webHidden/>
              </w:rPr>
              <w:fldChar w:fldCharType="end"/>
            </w:r>
          </w:hyperlink>
        </w:p>
        <w:p w14:paraId="22A71C4B" w14:textId="2F4CD424" w:rsidR="00F602E6" w:rsidRDefault="005D4834">
          <w:pPr>
            <w:pStyle w:val="TOC1"/>
            <w:rPr>
              <w:rFonts w:asciiTheme="minorHAnsi" w:eastAsiaTheme="minorEastAsia" w:hAnsiTheme="minorHAnsi" w:cstheme="minorBidi"/>
              <w:b w:val="0"/>
              <w:sz w:val="22"/>
              <w:lang w:val="en-US"/>
            </w:rPr>
          </w:pPr>
          <w:hyperlink w:anchor="_Toc117503079" w:history="1">
            <w:r w:rsidR="00F602E6" w:rsidRPr="00DF332F">
              <w:rPr>
                <w:rStyle w:val="Hyperlink"/>
              </w:rPr>
              <w:t>5. A multi-pronged approach to beneficial ownership information</w:t>
            </w:r>
            <w:r w:rsidR="00F602E6">
              <w:rPr>
                <w:webHidden/>
              </w:rPr>
              <w:tab/>
            </w:r>
            <w:r w:rsidR="00F602E6">
              <w:rPr>
                <w:webHidden/>
              </w:rPr>
              <w:fldChar w:fldCharType="begin"/>
            </w:r>
            <w:r w:rsidR="00F602E6">
              <w:rPr>
                <w:webHidden/>
              </w:rPr>
              <w:instrText xml:space="preserve"> PAGEREF _Toc117503079 \h </w:instrText>
            </w:r>
            <w:r w:rsidR="00F602E6">
              <w:rPr>
                <w:webHidden/>
              </w:rPr>
            </w:r>
            <w:r w:rsidR="00F602E6">
              <w:rPr>
                <w:webHidden/>
              </w:rPr>
              <w:fldChar w:fldCharType="separate"/>
            </w:r>
            <w:r w:rsidR="00F602E6">
              <w:rPr>
                <w:webHidden/>
              </w:rPr>
              <w:t>17</w:t>
            </w:r>
            <w:r w:rsidR="00F602E6">
              <w:rPr>
                <w:webHidden/>
              </w:rPr>
              <w:fldChar w:fldCharType="end"/>
            </w:r>
          </w:hyperlink>
        </w:p>
        <w:p w14:paraId="7FF53F69" w14:textId="0E55695D" w:rsidR="00F602E6" w:rsidRDefault="005D4834">
          <w:pPr>
            <w:pStyle w:val="TOC1"/>
            <w:rPr>
              <w:rFonts w:asciiTheme="minorHAnsi" w:eastAsiaTheme="minorEastAsia" w:hAnsiTheme="minorHAnsi" w:cstheme="minorBidi"/>
              <w:b w:val="0"/>
              <w:sz w:val="22"/>
              <w:lang w:val="en-US"/>
            </w:rPr>
          </w:pPr>
          <w:hyperlink w:anchor="_Toc117503080" w:history="1">
            <w:r w:rsidR="00F602E6" w:rsidRPr="00DF332F">
              <w:rPr>
                <w:rStyle w:val="Hyperlink"/>
              </w:rPr>
              <w:t>6. Adequate beneficial ownership information</w:t>
            </w:r>
            <w:r w:rsidR="00F602E6">
              <w:rPr>
                <w:webHidden/>
              </w:rPr>
              <w:tab/>
            </w:r>
            <w:r w:rsidR="00F602E6">
              <w:rPr>
                <w:webHidden/>
              </w:rPr>
              <w:fldChar w:fldCharType="begin"/>
            </w:r>
            <w:r w:rsidR="00F602E6">
              <w:rPr>
                <w:webHidden/>
              </w:rPr>
              <w:instrText xml:space="preserve"> PAGEREF _Toc117503080 \h </w:instrText>
            </w:r>
            <w:r w:rsidR="00F602E6">
              <w:rPr>
                <w:webHidden/>
              </w:rPr>
            </w:r>
            <w:r w:rsidR="00F602E6">
              <w:rPr>
                <w:webHidden/>
              </w:rPr>
              <w:fldChar w:fldCharType="separate"/>
            </w:r>
            <w:r w:rsidR="00F602E6">
              <w:rPr>
                <w:webHidden/>
              </w:rPr>
              <w:t>18</w:t>
            </w:r>
            <w:r w:rsidR="00F602E6">
              <w:rPr>
                <w:webHidden/>
              </w:rPr>
              <w:fldChar w:fldCharType="end"/>
            </w:r>
          </w:hyperlink>
        </w:p>
        <w:p w14:paraId="7E8E9AFF" w14:textId="0521C3CA" w:rsidR="00F602E6" w:rsidRDefault="005D4834">
          <w:pPr>
            <w:pStyle w:val="TOC1"/>
            <w:rPr>
              <w:rFonts w:asciiTheme="minorHAnsi" w:eastAsiaTheme="minorEastAsia" w:hAnsiTheme="minorHAnsi" w:cstheme="minorBidi"/>
              <w:b w:val="0"/>
              <w:sz w:val="22"/>
              <w:lang w:val="en-US"/>
            </w:rPr>
          </w:pPr>
          <w:hyperlink w:anchor="_Toc117503081" w:history="1">
            <w:r w:rsidR="00F602E6" w:rsidRPr="00DF332F">
              <w:rPr>
                <w:rStyle w:val="Hyperlink"/>
              </w:rPr>
              <w:t>7. Accurate information – means of verification of beneficial ownership information</w:t>
            </w:r>
            <w:r w:rsidR="00F602E6">
              <w:rPr>
                <w:webHidden/>
              </w:rPr>
              <w:tab/>
            </w:r>
            <w:r w:rsidR="00F602E6">
              <w:rPr>
                <w:webHidden/>
              </w:rPr>
              <w:fldChar w:fldCharType="begin"/>
            </w:r>
            <w:r w:rsidR="00F602E6">
              <w:rPr>
                <w:webHidden/>
              </w:rPr>
              <w:instrText xml:space="preserve"> PAGEREF _Toc117503081 \h </w:instrText>
            </w:r>
            <w:r w:rsidR="00F602E6">
              <w:rPr>
                <w:webHidden/>
              </w:rPr>
            </w:r>
            <w:r w:rsidR="00F602E6">
              <w:rPr>
                <w:webHidden/>
              </w:rPr>
              <w:fldChar w:fldCharType="separate"/>
            </w:r>
            <w:r w:rsidR="00F602E6">
              <w:rPr>
                <w:webHidden/>
              </w:rPr>
              <w:t>19</w:t>
            </w:r>
            <w:r w:rsidR="00F602E6">
              <w:rPr>
                <w:webHidden/>
              </w:rPr>
              <w:fldChar w:fldCharType="end"/>
            </w:r>
          </w:hyperlink>
        </w:p>
        <w:p w14:paraId="3FDD3294" w14:textId="6B7AF76C" w:rsidR="00F602E6" w:rsidRDefault="005D4834">
          <w:pPr>
            <w:pStyle w:val="TOC2"/>
            <w:rPr>
              <w:rFonts w:asciiTheme="minorHAnsi" w:eastAsiaTheme="minorEastAsia" w:hAnsiTheme="minorHAnsi" w:cstheme="minorBidi"/>
              <w:sz w:val="22"/>
              <w:lang w:val="en-US"/>
            </w:rPr>
          </w:pPr>
          <w:hyperlink w:anchor="_Toc117503082" w:history="1">
            <w:r w:rsidR="00F602E6" w:rsidRPr="00DF332F">
              <w:rPr>
                <w:rStyle w:val="Hyperlink"/>
              </w:rPr>
              <w:t>7.1. Verification of Identity of the Beneficial Owner</w:t>
            </w:r>
            <w:r w:rsidR="00F602E6">
              <w:rPr>
                <w:webHidden/>
              </w:rPr>
              <w:tab/>
            </w:r>
            <w:r w:rsidR="00F602E6">
              <w:rPr>
                <w:webHidden/>
              </w:rPr>
              <w:fldChar w:fldCharType="begin"/>
            </w:r>
            <w:r w:rsidR="00F602E6">
              <w:rPr>
                <w:webHidden/>
              </w:rPr>
              <w:instrText xml:space="preserve"> PAGEREF _Toc117503082 \h </w:instrText>
            </w:r>
            <w:r w:rsidR="00F602E6">
              <w:rPr>
                <w:webHidden/>
              </w:rPr>
            </w:r>
            <w:r w:rsidR="00F602E6">
              <w:rPr>
                <w:webHidden/>
              </w:rPr>
              <w:fldChar w:fldCharType="separate"/>
            </w:r>
            <w:r w:rsidR="00F602E6">
              <w:rPr>
                <w:webHidden/>
              </w:rPr>
              <w:t>20</w:t>
            </w:r>
            <w:r w:rsidR="00F602E6">
              <w:rPr>
                <w:webHidden/>
              </w:rPr>
              <w:fldChar w:fldCharType="end"/>
            </w:r>
          </w:hyperlink>
        </w:p>
        <w:p w14:paraId="23EA410B" w14:textId="02C917E9" w:rsidR="00F602E6" w:rsidRDefault="005D4834">
          <w:pPr>
            <w:pStyle w:val="TOC2"/>
            <w:rPr>
              <w:rFonts w:asciiTheme="minorHAnsi" w:eastAsiaTheme="minorEastAsia" w:hAnsiTheme="minorHAnsi" w:cstheme="minorBidi"/>
              <w:sz w:val="22"/>
              <w:lang w:val="en-US"/>
            </w:rPr>
          </w:pPr>
          <w:hyperlink w:anchor="_Toc117503083" w:history="1">
            <w:r w:rsidR="00F602E6" w:rsidRPr="00DF332F">
              <w:rPr>
                <w:rStyle w:val="Hyperlink"/>
              </w:rPr>
              <w:t>7.2. Verification of Status of the Beneficial Owner</w:t>
            </w:r>
            <w:r w:rsidR="00F602E6">
              <w:rPr>
                <w:webHidden/>
              </w:rPr>
              <w:tab/>
            </w:r>
            <w:r w:rsidR="00F602E6">
              <w:rPr>
                <w:webHidden/>
              </w:rPr>
              <w:fldChar w:fldCharType="begin"/>
            </w:r>
            <w:r w:rsidR="00F602E6">
              <w:rPr>
                <w:webHidden/>
              </w:rPr>
              <w:instrText xml:space="preserve"> PAGEREF _Toc117503083 \h </w:instrText>
            </w:r>
            <w:r w:rsidR="00F602E6">
              <w:rPr>
                <w:webHidden/>
              </w:rPr>
            </w:r>
            <w:r w:rsidR="00F602E6">
              <w:rPr>
                <w:webHidden/>
              </w:rPr>
              <w:fldChar w:fldCharType="separate"/>
            </w:r>
            <w:r w:rsidR="00F602E6">
              <w:rPr>
                <w:webHidden/>
              </w:rPr>
              <w:t>21</w:t>
            </w:r>
            <w:r w:rsidR="00F602E6">
              <w:rPr>
                <w:webHidden/>
              </w:rPr>
              <w:fldChar w:fldCharType="end"/>
            </w:r>
          </w:hyperlink>
        </w:p>
        <w:p w14:paraId="6CCDFE56" w14:textId="0C610201" w:rsidR="00F602E6" w:rsidRDefault="005D4834">
          <w:pPr>
            <w:pStyle w:val="TOC2"/>
            <w:rPr>
              <w:rFonts w:asciiTheme="minorHAnsi" w:eastAsiaTheme="minorEastAsia" w:hAnsiTheme="minorHAnsi" w:cstheme="minorBidi"/>
              <w:sz w:val="22"/>
              <w:lang w:val="en-US"/>
            </w:rPr>
          </w:pPr>
          <w:hyperlink w:anchor="_Toc117503084" w:history="1">
            <w:r w:rsidR="00F602E6" w:rsidRPr="00DF332F">
              <w:rPr>
                <w:rStyle w:val="Hyperlink"/>
              </w:rPr>
              <w:t>7.3. Discrepancy Reporting Mechanisms</w:t>
            </w:r>
            <w:r w:rsidR="00F602E6">
              <w:rPr>
                <w:webHidden/>
              </w:rPr>
              <w:tab/>
            </w:r>
            <w:r w:rsidR="00F602E6">
              <w:rPr>
                <w:webHidden/>
              </w:rPr>
              <w:fldChar w:fldCharType="begin"/>
            </w:r>
            <w:r w:rsidR="00F602E6">
              <w:rPr>
                <w:webHidden/>
              </w:rPr>
              <w:instrText xml:space="preserve"> PAGEREF _Toc117503084 \h </w:instrText>
            </w:r>
            <w:r w:rsidR="00F602E6">
              <w:rPr>
                <w:webHidden/>
              </w:rPr>
            </w:r>
            <w:r w:rsidR="00F602E6">
              <w:rPr>
                <w:webHidden/>
              </w:rPr>
              <w:fldChar w:fldCharType="separate"/>
            </w:r>
            <w:r w:rsidR="00F602E6">
              <w:rPr>
                <w:webHidden/>
              </w:rPr>
              <w:t>21</w:t>
            </w:r>
            <w:r w:rsidR="00F602E6">
              <w:rPr>
                <w:webHidden/>
              </w:rPr>
              <w:fldChar w:fldCharType="end"/>
            </w:r>
          </w:hyperlink>
        </w:p>
        <w:p w14:paraId="35A3240D" w14:textId="15B04BF8" w:rsidR="00F602E6" w:rsidRDefault="005D4834">
          <w:pPr>
            <w:pStyle w:val="TOC1"/>
            <w:rPr>
              <w:rFonts w:asciiTheme="minorHAnsi" w:eastAsiaTheme="minorEastAsia" w:hAnsiTheme="minorHAnsi" w:cstheme="minorBidi"/>
              <w:b w:val="0"/>
              <w:sz w:val="22"/>
              <w:lang w:val="en-US"/>
            </w:rPr>
          </w:pPr>
          <w:hyperlink w:anchor="_Toc117503085" w:history="1">
            <w:r w:rsidR="00F602E6" w:rsidRPr="00DF332F">
              <w:rPr>
                <w:rStyle w:val="Hyperlink"/>
              </w:rPr>
              <w:t>8. Up-to-date basic and beneficial ownership information</w:t>
            </w:r>
            <w:r w:rsidR="00F602E6">
              <w:rPr>
                <w:webHidden/>
              </w:rPr>
              <w:tab/>
            </w:r>
            <w:r w:rsidR="00F602E6">
              <w:rPr>
                <w:webHidden/>
              </w:rPr>
              <w:fldChar w:fldCharType="begin"/>
            </w:r>
            <w:r w:rsidR="00F602E6">
              <w:rPr>
                <w:webHidden/>
              </w:rPr>
              <w:instrText xml:space="preserve"> PAGEREF _Toc117503085 \h </w:instrText>
            </w:r>
            <w:r w:rsidR="00F602E6">
              <w:rPr>
                <w:webHidden/>
              </w:rPr>
            </w:r>
            <w:r w:rsidR="00F602E6">
              <w:rPr>
                <w:webHidden/>
              </w:rPr>
              <w:fldChar w:fldCharType="separate"/>
            </w:r>
            <w:r w:rsidR="00F602E6">
              <w:rPr>
                <w:webHidden/>
              </w:rPr>
              <w:t>22</w:t>
            </w:r>
            <w:r w:rsidR="00F602E6">
              <w:rPr>
                <w:webHidden/>
              </w:rPr>
              <w:fldChar w:fldCharType="end"/>
            </w:r>
          </w:hyperlink>
        </w:p>
        <w:p w14:paraId="4EAAD579" w14:textId="364E6024" w:rsidR="00F602E6" w:rsidRDefault="005D4834">
          <w:pPr>
            <w:pStyle w:val="TOC1"/>
            <w:rPr>
              <w:rFonts w:asciiTheme="minorHAnsi" w:eastAsiaTheme="minorEastAsia" w:hAnsiTheme="minorHAnsi" w:cstheme="minorBidi"/>
              <w:b w:val="0"/>
              <w:sz w:val="22"/>
              <w:lang w:val="en-US"/>
            </w:rPr>
          </w:pPr>
          <w:hyperlink w:anchor="_Toc117503086" w:history="1">
            <w:r w:rsidR="00F602E6" w:rsidRPr="00DF332F">
              <w:rPr>
                <w:rStyle w:val="Hyperlink"/>
              </w:rPr>
              <w:t>9. Obligations of companies under the company approach</w:t>
            </w:r>
            <w:r w:rsidR="00F602E6">
              <w:rPr>
                <w:webHidden/>
              </w:rPr>
              <w:tab/>
            </w:r>
            <w:r w:rsidR="00F602E6">
              <w:rPr>
                <w:webHidden/>
              </w:rPr>
              <w:fldChar w:fldCharType="begin"/>
            </w:r>
            <w:r w:rsidR="00F602E6">
              <w:rPr>
                <w:webHidden/>
              </w:rPr>
              <w:instrText xml:space="preserve"> PAGEREF _Toc117503086 \h </w:instrText>
            </w:r>
            <w:r w:rsidR="00F602E6">
              <w:rPr>
                <w:webHidden/>
              </w:rPr>
            </w:r>
            <w:r w:rsidR="00F602E6">
              <w:rPr>
                <w:webHidden/>
              </w:rPr>
              <w:fldChar w:fldCharType="separate"/>
            </w:r>
            <w:r w:rsidR="00F602E6">
              <w:rPr>
                <w:webHidden/>
              </w:rPr>
              <w:t>23</w:t>
            </w:r>
            <w:r w:rsidR="00F602E6">
              <w:rPr>
                <w:webHidden/>
              </w:rPr>
              <w:fldChar w:fldCharType="end"/>
            </w:r>
          </w:hyperlink>
        </w:p>
        <w:p w14:paraId="0ACC5921" w14:textId="5D6349EA" w:rsidR="00F602E6" w:rsidRDefault="005D4834">
          <w:pPr>
            <w:pStyle w:val="TOC1"/>
            <w:rPr>
              <w:rFonts w:asciiTheme="minorHAnsi" w:eastAsiaTheme="minorEastAsia" w:hAnsiTheme="minorHAnsi" w:cstheme="minorBidi"/>
              <w:b w:val="0"/>
              <w:sz w:val="22"/>
              <w:lang w:val="en-US"/>
            </w:rPr>
          </w:pPr>
          <w:hyperlink w:anchor="_Toc117503087" w:history="1">
            <w:r w:rsidR="00F602E6" w:rsidRPr="00DF332F">
              <w:rPr>
                <w:rStyle w:val="Hyperlink"/>
              </w:rPr>
              <w:t>10. The registry approach</w:t>
            </w:r>
            <w:r w:rsidR="00F602E6">
              <w:rPr>
                <w:webHidden/>
              </w:rPr>
              <w:tab/>
            </w:r>
            <w:r w:rsidR="00F602E6">
              <w:rPr>
                <w:webHidden/>
              </w:rPr>
              <w:fldChar w:fldCharType="begin"/>
            </w:r>
            <w:r w:rsidR="00F602E6">
              <w:rPr>
                <w:webHidden/>
              </w:rPr>
              <w:instrText xml:space="preserve"> PAGEREF _Toc117503087 \h </w:instrText>
            </w:r>
            <w:r w:rsidR="00F602E6">
              <w:rPr>
                <w:webHidden/>
              </w:rPr>
            </w:r>
            <w:r w:rsidR="00F602E6">
              <w:rPr>
                <w:webHidden/>
              </w:rPr>
              <w:fldChar w:fldCharType="separate"/>
            </w:r>
            <w:r w:rsidR="00F602E6">
              <w:rPr>
                <w:webHidden/>
              </w:rPr>
              <w:t>24</w:t>
            </w:r>
            <w:r w:rsidR="00F602E6">
              <w:rPr>
                <w:webHidden/>
              </w:rPr>
              <w:fldChar w:fldCharType="end"/>
            </w:r>
          </w:hyperlink>
        </w:p>
        <w:p w14:paraId="5C83F61E" w14:textId="546D7CEE" w:rsidR="00F602E6" w:rsidRDefault="005D4834">
          <w:pPr>
            <w:pStyle w:val="TOC2"/>
            <w:rPr>
              <w:rFonts w:asciiTheme="minorHAnsi" w:eastAsiaTheme="minorEastAsia" w:hAnsiTheme="minorHAnsi" w:cstheme="minorBidi"/>
              <w:sz w:val="22"/>
              <w:lang w:val="en-US"/>
            </w:rPr>
          </w:pPr>
          <w:hyperlink w:anchor="_Toc117503088" w:history="1">
            <w:r w:rsidR="00F602E6" w:rsidRPr="00DF332F">
              <w:rPr>
                <w:rStyle w:val="Hyperlink"/>
              </w:rPr>
              <w:t>10.1. Example features – Public authority or body holding beneficial ownership information</w:t>
            </w:r>
            <w:r w:rsidR="00F602E6">
              <w:rPr>
                <w:webHidden/>
              </w:rPr>
              <w:tab/>
            </w:r>
            <w:r w:rsidR="00F602E6">
              <w:rPr>
                <w:webHidden/>
              </w:rPr>
              <w:fldChar w:fldCharType="begin"/>
            </w:r>
            <w:r w:rsidR="00F602E6">
              <w:rPr>
                <w:webHidden/>
              </w:rPr>
              <w:instrText xml:space="preserve"> PAGEREF _Toc117503088 \h </w:instrText>
            </w:r>
            <w:r w:rsidR="00F602E6">
              <w:rPr>
                <w:webHidden/>
              </w:rPr>
            </w:r>
            <w:r w:rsidR="00F602E6">
              <w:rPr>
                <w:webHidden/>
              </w:rPr>
              <w:fldChar w:fldCharType="separate"/>
            </w:r>
            <w:r w:rsidR="00F602E6">
              <w:rPr>
                <w:webHidden/>
              </w:rPr>
              <w:t>27</w:t>
            </w:r>
            <w:r w:rsidR="00F602E6">
              <w:rPr>
                <w:webHidden/>
              </w:rPr>
              <w:fldChar w:fldCharType="end"/>
            </w:r>
          </w:hyperlink>
        </w:p>
        <w:p w14:paraId="4D85C067" w14:textId="3C5C1CCC" w:rsidR="00F602E6" w:rsidRDefault="005D4834">
          <w:pPr>
            <w:pStyle w:val="TOC1"/>
            <w:rPr>
              <w:rFonts w:asciiTheme="minorHAnsi" w:eastAsiaTheme="minorEastAsia" w:hAnsiTheme="minorHAnsi" w:cstheme="minorBidi"/>
              <w:b w:val="0"/>
              <w:sz w:val="22"/>
              <w:lang w:val="en-US"/>
            </w:rPr>
          </w:pPr>
          <w:hyperlink w:anchor="_Toc117503089" w:history="1">
            <w:r w:rsidR="00F602E6" w:rsidRPr="00DF332F">
              <w:rPr>
                <w:rStyle w:val="Hyperlink"/>
                <w:rFonts w:eastAsia="Calibri"/>
              </w:rPr>
              <w:t>11.</w:t>
            </w:r>
            <w:r w:rsidR="00F602E6" w:rsidRPr="00DF332F">
              <w:rPr>
                <w:rStyle w:val="Hyperlink"/>
              </w:rPr>
              <w:t xml:space="preserve"> Mechanisms and sources for obtaining beneficial ownership information of legal persons: characteristics of alternative mechanisms</w:t>
            </w:r>
            <w:r w:rsidR="00F602E6">
              <w:rPr>
                <w:webHidden/>
              </w:rPr>
              <w:tab/>
            </w:r>
            <w:r w:rsidR="00F602E6">
              <w:rPr>
                <w:webHidden/>
              </w:rPr>
              <w:fldChar w:fldCharType="begin"/>
            </w:r>
            <w:r w:rsidR="00F602E6">
              <w:rPr>
                <w:webHidden/>
              </w:rPr>
              <w:instrText xml:space="preserve"> PAGEREF _Toc117503089 \h </w:instrText>
            </w:r>
            <w:r w:rsidR="00F602E6">
              <w:rPr>
                <w:webHidden/>
              </w:rPr>
            </w:r>
            <w:r w:rsidR="00F602E6">
              <w:rPr>
                <w:webHidden/>
              </w:rPr>
              <w:fldChar w:fldCharType="separate"/>
            </w:r>
            <w:r w:rsidR="00F602E6">
              <w:rPr>
                <w:webHidden/>
              </w:rPr>
              <w:t>29</w:t>
            </w:r>
            <w:r w:rsidR="00F602E6">
              <w:rPr>
                <w:webHidden/>
              </w:rPr>
              <w:fldChar w:fldCharType="end"/>
            </w:r>
          </w:hyperlink>
        </w:p>
        <w:p w14:paraId="1F3311A7" w14:textId="2F6F7E90" w:rsidR="00F602E6" w:rsidRDefault="005D4834">
          <w:pPr>
            <w:pStyle w:val="TOC1"/>
            <w:rPr>
              <w:rFonts w:asciiTheme="minorHAnsi" w:eastAsiaTheme="minorEastAsia" w:hAnsiTheme="minorHAnsi" w:cstheme="minorBidi"/>
              <w:b w:val="0"/>
              <w:sz w:val="22"/>
              <w:lang w:val="en-US"/>
            </w:rPr>
          </w:pPr>
          <w:hyperlink w:anchor="_Toc117503090" w:history="1">
            <w:r w:rsidR="00F602E6" w:rsidRPr="00DF332F">
              <w:rPr>
                <w:rStyle w:val="Hyperlink"/>
              </w:rPr>
              <w:t>12. Additional supplementary measures</w:t>
            </w:r>
            <w:r w:rsidR="00F602E6">
              <w:rPr>
                <w:webHidden/>
              </w:rPr>
              <w:tab/>
            </w:r>
            <w:r w:rsidR="00F602E6">
              <w:rPr>
                <w:webHidden/>
              </w:rPr>
              <w:fldChar w:fldCharType="begin"/>
            </w:r>
            <w:r w:rsidR="00F602E6">
              <w:rPr>
                <w:webHidden/>
              </w:rPr>
              <w:instrText xml:space="preserve"> PAGEREF _Toc117503090 \h </w:instrText>
            </w:r>
            <w:r w:rsidR="00F602E6">
              <w:rPr>
                <w:webHidden/>
              </w:rPr>
            </w:r>
            <w:r w:rsidR="00F602E6">
              <w:rPr>
                <w:webHidden/>
              </w:rPr>
              <w:fldChar w:fldCharType="separate"/>
            </w:r>
            <w:r w:rsidR="00F602E6">
              <w:rPr>
                <w:webHidden/>
              </w:rPr>
              <w:t>31</w:t>
            </w:r>
            <w:r w:rsidR="00F602E6">
              <w:rPr>
                <w:webHidden/>
              </w:rPr>
              <w:fldChar w:fldCharType="end"/>
            </w:r>
          </w:hyperlink>
        </w:p>
        <w:p w14:paraId="0538EC2B" w14:textId="4EE6004E" w:rsidR="00F602E6" w:rsidRDefault="005D4834">
          <w:pPr>
            <w:pStyle w:val="TOC1"/>
            <w:rPr>
              <w:rFonts w:asciiTheme="minorHAnsi" w:eastAsiaTheme="minorEastAsia" w:hAnsiTheme="minorHAnsi" w:cstheme="minorBidi"/>
              <w:b w:val="0"/>
              <w:sz w:val="22"/>
              <w:lang w:val="en-US"/>
            </w:rPr>
          </w:pPr>
          <w:hyperlink w:anchor="_Toc117503091" w:history="1">
            <w:r w:rsidR="00F602E6" w:rsidRPr="00DF332F">
              <w:rPr>
                <w:rStyle w:val="Hyperlink"/>
                <w:lang w:eastAsia="de-AT"/>
              </w:rPr>
              <w:t>13.</w:t>
            </w:r>
            <w:r w:rsidR="00F602E6" w:rsidRPr="00DF332F">
              <w:rPr>
                <w:rStyle w:val="Hyperlink"/>
              </w:rPr>
              <w:t xml:space="preserve"> Access to information</w:t>
            </w:r>
            <w:r w:rsidR="00F602E6">
              <w:rPr>
                <w:webHidden/>
              </w:rPr>
              <w:tab/>
            </w:r>
            <w:r w:rsidR="00F602E6">
              <w:rPr>
                <w:webHidden/>
              </w:rPr>
              <w:fldChar w:fldCharType="begin"/>
            </w:r>
            <w:r w:rsidR="00F602E6">
              <w:rPr>
                <w:webHidden/>
              </w:rPr>
              <w:instrText xml:space="preserve"> PAGEREF _Toc117503091 \h </w:instrText>
            </w:r>
            <w:r w:rsidR="00F602E6">
              <w:rPr>
                <w:webHidden/>
              </w:rPr>
            </w:r>
            <w:r w:rsidR="00F602E6">
              <w:rPr>
                <w:webHidden/>
              </w:rPr>
              <w:fldChar w:fldCharType="separate"/>
            </w:r>
            <w:r w:rsidR="00F602E6">
              <w:rPr>
                <w:webHidden/>
              </w:rPr>
              <w:t>32</w:t>
            </w:r>
            <w:r w:rsidR="00F602E6">
              <w:rPr>
                <w:webHidden/>
              </w:rPr>
              <w:fldChar w:fldCharType="end"/>
            </w:r>
          </w:hyperlink>
        </w:p>
        <w:p w14:paraId="73C8DF72" w14:textId="39E5BE8B" w:rsidR="00F602E6" w:rsidRDefault="005D4834">
          <w:pPr>
            <w:pStyle w:val="TOC2"/>
            <w:rPr>
              <w:rFonts w:asciiTheme="minorHAnsi" w:eastAsiaTheme="minorEastAsia" w:hAnsiTheme="minorHAnsi" w:cstheme="minorBidi"/>
              <w:sz w:val="22"/>
              <w:lang w:val="en-US"/>
            </w:rPr>
          </w:pPr>
          <w:hyperlink w:anchor="_Toc117503092" w:history="1">
            <w:r w:rsidR="00F602E6" w:rsidRPr="00DF332F">
              <w:rPr>
                <w:rStyle w:val="Hyperlink"/>
              </w:rPr>
              <w:t>13.1. Access by competent authorities</w:t>
            </w:r>
            <w:r w:rsidR="00F602E6">
              <w:rPr>
                <w:webHidden/>
              </w:rPr>
              <w:tab/>
            </w:r>
            <w:r w:rsidR="00F602E6">
              <w:rPr>
                <w:webHidden/>
              </w:rPr>
              <w:fldChar w:fldCharType="begin"/>
            </w:r>
            <w:r w:rsidR="00F602E6">
              <w:rPr>
                <w:webHidden/>
              </w:rPr>
              <w:instrText xml:space="preserve"> PAGEREF _Toc117503092 \h </w:instrText>
            </w:r>
            <w:r w:rsidR="00F602E6">
              <w:rPr>
                <w:webHidden/>
              </w:rPr>
            </w:r>
            <w:r w:rsidR="00F602E6">
              <w:rPr>
                <w:webHidden/>
              </w:rPr>
              <w:fldChar w:fldCharType="separate"/>
            </w:r>
            <w:r w:rsidR="00F602E6">
              <w:rPr>
                <w:webHidden/>
              </w:rPr>
              <w:t>32</w:t>
            </w:r>
            <w:r w:rsidR="00F602E6">
              <w:rPr>
                <w:webHidden/>
              </w:rPr>
              <w:fldChar w:fldCharType="end"/>
            </w:r>
          </w:hyperlink>
        </w:p>
        <w:p w14:paraId="7C311098" w14:textId="2BBCEA14" w:rsidR="00F602E6" w:rsidRDefault="005D4834">
          <w:pPr>
            <w:pStyle w:val="TOC2"/>
            <w:rPr>
              <w:rFonts w:asciiTheme="minorHAnsi" w:eastAsiaTheme="minorEastAsia" w:hAnsiTheme="minorHAnsi" w:cstheme="minorBidi"/>
              <w:sz w:val="22"/>
              <w:lang w:val="en-US"/>
            </w:rPr>
          </w:pPr>
          <w:hyperlink w:anchor="_Toc117503093" w:history="1">
            <w:r w:rsidR="00F602E6" w:rsidRPr="00DF332F">
              <w:rPr>
                <w:rStyle w:val="Hyperlink"/>
              </w:rPr>
              <w:t>13.2. Access in the course of public procurement</w:t>
            </w:r>
            <w:r w:rsidR="00F602E6">
              <w:rPr>
                <w:webHidden/>
              </w:rPr>
              <w:tab/>
            </w:r>
            <w:r w:rsidR="00F602E6">
              <w:rPr>
                <w:webHidden/>
              </w:rPr>
              <w:fldChar w:fldCharType="begin"/>
            </w:r>
            <w:r w:rsidR="00F602E6">
              <w:rPr>
                <w:webHidden/>
              </w:rPr>
              <w:instrText xml:space="preserve"> PAGEREF _Toc117503093 \h </w:instrText>
            </w:r>
            <w:r w:rsidR="00F602E6">
              <w:rPr>
                <w:webHidden/>
              </w:rPr>
            </w:r>
            <w:r w:rsidR="00F602E6">
              <w:rPr>
                <w:webHidden/>
              </w:rPr>
              <w:fldChar w:fldCharType="separate"/>
            </w:r>
            <w:r w:rsidR="00F602E6">
              <w:rPr>
                <w:webHidden/>
              </w:rPr>
              <w:t>32</w:t>
            </w:r>
            <w:r w:rsidR="00F602E6">
              <w:rPr>
                <w:webHidden/>
              </w:rPr>
              <w:fldChar w:fldCharType="end"/>
            </w:r>
          </w:hyperlink>
        </w:p>
        <w:p w14:paraId="0156A4EA" w14:textId="6350C493" w:rsidR="00F602E6" w:rsidRDefault="005D4834">
          <w:pPr>
            <w:pStyle w:val="TOC2"/>
            <w:rPr>
              <w:rFonts w:asciiTheme="minorHAnsi" w:eastAsiaTheme="minorEastAsia" w:hAnsiTheme="minorHAnsi" w:cstheme="minorBidi"/>
              <w:sz w:val="22"/>
              <w:lang w:val="en-US"/>
            </w:rPr>
          </w:pPr>
          <w:hyperlink w:anchor="_Toc117503094" w:history="1">
            <w:r w:rsidR="00F602E6" w:rsidRPr="00DF332F">
              <w:rPr>
                <w:rStyle w:val="Hyperlink"/>
              </w:rPr>
              <w:t>13.3. Access by FIs, DNFBPs, other countries’ competent authorities, and general public</w:t>
            </w:r>
            <w:r w:rsidR="00F602E6">
              <w:rPr>
                <w:webHidden/>
              </w:rPr>
              <w:tab/>
            </w:r>
            <w:r w:rsidR="00F602E6">
              <w:rPr>
                <w:webHidden/>
              </w:rPr>
              <w:fldChar w:fldCharType="begin"/>
            </w:r>
            <w:r w:rsidR="00F602E6">
              <w:rPr>
                <w:webHidden/>
              </w:rPr>
              <w:instrText xml:space="preserve"> PAGEREF _Toc117503094 \h </w:instrText>
            </w:r>
            <w:r w:rsidR="00F602E6">
              <w:rPr>
                <w:webHidden/>
              </w:rPr>
            </w:r>
            <w:r w:rsidR="00F602E6">
              <w:rPr>
                <w:webHidden/>
              </w:rPr>
              <w:fldChar w:fldCharType="separate"/>
            </w:r>
            <w:r w:rsidR="00F602E6">
              <w:rPr>
                <w:webHidden/>
              </w:rPr>
              <w:t>33</w:t>
            </w:r>
            <w:r w:rsidR="00F602E6">
              <w:rPr>
                <w:webHidden/>
              </w:rPr>
              <w:fldChar w:fldCharType="end"/>
            </w:r>
          </w:hyperlink>
        </w:p>
        <w:p w14:paraId="740144B3" w14:textId="2C719DC9" w:rsidR="00F602E6" w:rsidRDefault="005D4834">
          <w:pPr>
            <w:pStyle w:val="TOC2"/>
            <w:rPr>
              <w:rFonts w:asciiTheme="minorHAnsi" w:eastAsiaTheme="minorEastAsia" w:hAnsiTheme="minorHAnsi" w:cstheme="minorBidi"/>
              <w:sz w:val="22"/>
              <w:lang w:val="en-US"/>
            </w:rPr>
          </w:pPr>
          <w:hyperlink w:anchor="_Toc117503095" w:history="1">
            <w:r w:rsidR="00F602E6" w:rsidRPr="00DF332F">
              <w:rPr>
                <w:rStyle w:val="Hyperlink"/>
              </w:rPr>
              <w:t>13.4. Cost of access</w:t>
            </w:r>
            <w:r w:rsidR="00F602E6">
              <w:rPr>
                <w:webHidden/>
              </w:rPr>
              <w:tab/>
            </w:r>
            <w:r w:rsidR="00F602E6">
              <w:rPr>
                <w:webHidden/>
              </w:rPr>
              <w:fldChar w:fldCharType="begin"/>
            </w:r>
            <w:r w:rsidR="00F602E6">
              <w:rPr>
                <w:webHidden/>
              </w:rPr>
              <w:instrText xml:space="preserve"> PAGEREF _Toc117503095 \h </w:instrText>
            </w:r>
            <w:r w:rsidR="00F602E6">
              <w:rPr>
                <w:webHidden/>
              </w:rPr>
            </w:r>
            <w:r w:rsidR="00F602E6">
              <w:rPr>
                <w:webHidden/>
              </w:rPr>
              <w:fldChar w:fldCharType="separate"/>
            </w:r>
            <w:r w:rsidR="00F602E6">
              <w:rPr>
                <w:webHidden/>
              </w:rPr>
              <w:t>34</w:t>
            </w:r>
            <w:r w:rsidR="00F602E6">
              <w:rPr>
                <w:webHidden/>
              </w:rPr>
              <w:fldChar w:fldCharType="end"/>
            </w:r>
          </w:hyperlink>
        </w:p>
        <w:p w14:paraId="6FB580DC" w14:textId="1D7542A0" w:rsidR="00F602E6" w:rsidRDefault="005D4834">
          <w:pPr>
            <w:pStyle w:val="TOC1"/>
            <w:rPr>
              <w:rFonts w:asciiTheme="minorHAnsi" w:eastAsiaTheme="minorEastAsia" w:hAnsiTheme="minorHAnsi" w:cstheme="minorBidi"/>
              <w:b w:val="0"/>
              <w:sz w:val="22"/>
              <w:lang w:val="en-US"/>
            </w:rPr>
          </w:pPr>
          <w:hyperlink w:anchor="_Toc117503096" w:history="1">
            <w:r w:rsidR="00F602E6" w:rsidRPr="00DF332F">
              <w:rPr>
                <w:rStyle w:val="Hyperlink"/>
                <w:lang w:eastAsia="de-AT"/>
              </w:rPr>
              <w:t>14.</w:t>
            </w:r>
            <w:r w:rsidR="00F602E6" w:rsidRPr="00DF332F">
              <w:rPr>
                <w:rStyle w:val="Hyperlink"/>
              </w:rPr>
              <w:t xml:space="preserve"> Mechanisms for preventing and mitigating risk of the misuse of bearer shares and bearer share warrants</w:t>
            </w:r>
            <w:r w:rsidR="00F602E6">
              <w:rPr>
                <w:webHidden/>
              </w:rPr>
              <w:tab/>
            </w:r>
            <w:r w:rsidR="00F602E6">
              <w:rPr>
                <w:webHidden/>
              </w:rPr>
              <w:fldChar w:fldCharType="begin"/>
            </w:r>
            <w:r w:rsidR="00F602E6">
              <w:rPr>
                <w:webHidden/>
              </w:rPr>
              <w:instrText xml:space="preserve"> PAGEREF _Toc117503096 \h </w:instrText>
            </w:r>
            <w:r w:rsidR="00F602E6">
              <w:rPr>
                <w:webHidden/>
              </w:rPr>
            </w:r>
            <w:r w:rsidR="00F602E6">
              <w:rPr>
                <w:webHidden/>
              </w:rPr>
              <w:fldChar w:fldCharType="separate"/>
            </w:r>
            <w:r w:rsidR="00F602E6">
              <w:rPr>
                <w:webHidden/>
              </w:rPr>
              <w:t>34</w:t>
            </w:r>
            <w:r w:rsidR="00F602E6">
              <w:rPr>
                <w:webHidden/>
              </w:rPr>
              <w:fldChar w:fldCharType="end"/>
            </w:r>
          </w:hyperlink>
        </w:p>
        <w:p w14:paraId="211D6AA4" w14:textId="683BC868" w:rsidR="00F602E6" w:rsidRDefault="005D4834">
          <w:pPr>
            <w:pStyle w:val="TOC2"/>
            <w:rPr>
              <w:rFonts w:asciiTheme="minorHAnsi" w:eastAsiaTheme="minorEastAsia" w:hAnsiTheme="minorHAnsi" w:cstheme="minorBidi"/>
              <w:sz w:val="22"/>
              <w:lang w:val="en-US"/>
            </w:rPr>
          </w:pPr>
          <w:hyperlink w:anchor="_Toc117503097" w:history="1">
            <w:r w:rsidR="00F602E6" w:rsidRPr="00DF332F">
              <w:rPr>
                <w:rStyle w:val="Hyperlink"/>
              </w:rPr>
              <w:t>14.1. Definitions</w:t>
            </w:r>
            <w:r w:rsidR="00F602E6">
              <w:rPr>
                <w:webHidden/>
              </w:rPr>
              <w:tab/>
            </w:r>
            <w:r w:rsidR="00F602E6">
              <w:rPr>
                <w:webHidden/>
              </w:rPr>
              <w:fldChar w:fldCharType="begin"/>
            </w:r>
            <w:r w:rsidR="00F602E6">
              <w:rPr>
                <w:webHidden/>
              </w:rPr>
              <w:instrText xml:space="preserve"> PAGEREF _Toc117503097 \h </w:instrText>
            </w:r>
            <w:r w:rsidR="00F602E6">
              <w:rPr>
                <w:webHidden/>
              </w:rPr>
            </w:r>
            <w:r w:rsidR="00F602E6">
              <w:rPr>
                <w:webHidden/>
              </w:rPr>
              <w:fldChar w:fldCharType="separate"/>
            </w:r>
            <w:r w:rsidR="00F602E6">
              <w:rPr>
                <w:webHidden/>
              </w:rPr>
              <w:t>35</w:t>
            </w:r>
            <w:r w:rsidR="00F602E6">
              <w:rPr>
                <w:webHidden/>
              </w:rPr>
              <w:fldChar w:fldCharType="end"/>
            </w:r>
          </w:hyperlink>
        </w:p>
        <w:p w14:paraId="0090CCA8" w14:textId="56C585C6" w:rsidR="00F602E6" w:rsidRDefault="005D4834">
          <w:pPr>
            <w:pStyle w:val="TOC2"/>
            <w:rPr>
              <w:rFonts w:asciiTheme="minorHAnsi" w:eastAsiaTheme="minorEastAsia" w:hAnsiTheme="minorHAnsi" w:cstheme="minorBidi"/>
              <w:sz w:val="22"/>
              <w:lang w:val="en-US"/>
            </w:rPr>
          </w:pPr>
          <w:hyperlink w:anchor="_Toc117503098" w:history="1">
            <w:r w:rsidR="00F602E6" w:rsidRPr="00DF332F">
              <w:rPr>
                <w:rStyle w:val="Hyperlink"/>
              </w:rPr>
              <w:t>14.2. Variations of bearer shares and bearer share warrants</w:t>
            </w:r>
            <w:r w:rsidR="00F602E6">
              <w:rPr>
                <w:webHidden/>
              </w:rPr>
              <w:tab/>
            </w:r>
            <w:r w:rsidR="00F602E6">
              <w:rPr>
                <w:webHidden/>
              </w:rPr>
              <w:fldChar w:fldCharType="begin"/>
            </w:r>
            <w:r w:rsidR="00F602E6">
              <w:rPr>
                <w:webHidden/>
              </w:rPr>
              <w:instrText xml:space="preserve"> PAGEREF _Toc117503098 \h </w:instrText>
            </w:r>
            <w:r w:rsidR="00F602E6">
              <w:rPr>
                <w:webHidden/>
              </w:rPr>
            </w:r>
            <w:r w:rsidR="00F602E6">
              <w:rPr>
                <w:webHidden/>
              </w:rPr>
              <w:fldChar w:fldCharType="separate"/>
            </w:r>
            <w:r w:rsidR="00F602E6">
              <w:rPr>
                <w:webHidden/>
              </w:rPr>
              <w:t>35</w:t>
            </w:r>
            <w:r w:rsidR="00F602E6">
              <w:rPr>
                <w:webHidden/>
              </w:rPr>
              <w:fldChar w:fldCharType="end"/>
            </w:r>
          </w:hyperlink>
        </w:p>
        <w:p w14:paraId="4E07E98D" w14:textId="754EF12F" w:rsidR="00F602E6" w:rsidRDefault="005D4834">
          <w:pPr>
            <w:pStyle w:val="TOC2"/>
            <w:rPr>
              <w:rFonts w:asciiTheme="minorHAnsi" w:eastAsiaTheme="minorEastAsia" w:hAnsiTheme="minorHAnsi" w:cstheme="minorBidi"/>
              <w:sz w:val="22"/>
              <w:lang w:val="en-US"/>
            </w:rPr>
          </w:pPr>
          <w:hyperlink w:anchor="_Toc117503099" w:history="1">
            <w:r w:rsidR="00F602E6" w:rsidRPr="00DF332F">
              <w:rPr>
                <w:rStyle w:val="Hyperlink"/>
              </w:rPr>
              <w:t>14.3. Range of conversion/immobilisation measures</w:t>
            </w:r>
            <w:r w:rsidR="00F602E6">
              <w:rPr>
                <w:webHidden/>
              </w:rPr>
              <w:tab/>
            </w:r>
            <w:r w:rsidR="00F602E6">
              <w:rPr>
                <w:webHidden/>
              </w:rPr>
              <w:fldChar w:fldCharType="begin"/>
            </w:r>
            <w:r w:rsidR="00F602E6">
              <w:rPr>
                <w:webHidden/>
              </w:rPr>
              <w:instrText xml:space="preserve"> PAGEREF _Toc117503099 \h </w:instrText>
            </w:r>
            <w:r w:rsidR="00F602E6">
              <w:rPr>
                <w:webHidden/>
              </w:rPr>
            </w:r>
            <w:r w:rsidR="00F602E6">
              <w:rPr>
                <w:webHidden/>
              </w:rPr>
              <w:fldChar w:fldCharType="separate"/>
            </w:r>
            <w:r w:rsidR="00F602E6">
              <w:rPr>
                <w:webHidden/>
              </w:rPr>
              <w:t>36</w:t>
            </w:r>
            <w:r w:rsidR="00F602E6">
              <w:rPr>
                <w:webHidden/>
              </w:rPr>
              <w:fldChar w:fldCharType="end"/>
            </w:r>
          </w:hyperlink>
        </w:p>
        <w:p w14:paraId="2097999F" w14:textId="79B195E9" w:rsidR="00F602E6" w:rsidRDefault="005D4834">
          <w:pPr>
            <w:pStyle w:val="TOC2"/>
            <w:rPr>
              <w:rFonts w:asciiTheme="minorHAnsi" w:eastAsiaTheme="minorEastAsia" w:hAnsiTheme="minorHAnsi" w:cstheme="minorBidi"/>
              <w:sz w:val="22"/>
              <w:lang w:val="en-US"/>
            </w:rPr>
          </w:pPr>
          <w:hyperlink w:anchor="_Toc117503100" w:history="1">
            <w:r w:rsidR="00F602E6" w:rsidRPr="00DF332F">
              <w:rPr>
                <w:rStyle w:val="Hyperlink"/>
              </w:rPr>
              <w:t>14.4. Timeframes for immobilisation/conversion of bearer share certificates and bearer share warrants</w:t>
            </w:r>
            <w:r w:rsidR="00F602E6">
              <w:rPr>
                <w:webHidden/>
              </w:rPr>
              <w:tab/>
            </w:r>
            <w:r w:rsidR="00F602E6">
              <w:rPr>
                <w:webHidden/>
              </w:rPr>
              <w:fldChar w:fldCharType="begin"/>
            </w:r>
            <w:r w:rsidR="00F602E6">
              <w:rPr>
                <w:webHidden/>
              </w:rPr>
              <w:instrText xml:space="preserve"> PAGEREF _Toc117503100 \h </w:instrText>
            </w:r>
            <w:r w:rsidR="00F602E6">
              <w:rPr>
                <w:webHidden/>
              </w:rPr>
            </w:r>
            <w:r w:rsidR="00F602E6">
              <w:rPr>
                <w:webHidden/>
              </w:rPr>
              <w:fldChar w:fldCharType="separate"/>
            </w:r>
            <w:r w:rsidR="00F602E6">
              <w:rPr>
                <w:webHidden/>
              </w:rPr>
              <w:t>37</w:t>
            </w:r>
            <w:r w:rsidR="00F602E6">
              <w:rPr>
                <w:webHidden/>
              </w:rPr>
              <w:fldChar w:fldCharType="end"/>
            </w:r>
          </w:hyperlink>
        </w:p>
        <w:p w14:paraId="72ED2E11" w14:textId="24A4203C" w:rsidR="00F602E6" w:rsidRDefault="005D4834">
          <w:pPr>
            <w:pStyle w:val="TOC1"/>
            <w:rPr>
              <w:rFonts w:asciiTheme="minorHAnsi" w:eastAsiaTheme="minorEastAsia" w:hAnsiTheme="minorHAnsi" w:cstheme="minorBidi"/>
              <w:b w:val="0"/>
              <w:sz w:val="22"/>
              <w:lang w:val="en-US"/>
            </w:rPr>
          </w:pPr>
          <w:hyperlink w:anchor="_Toc117503101" w:history="1">
            <w:r w:rsidR="00F602E6" w:rsidRPr="00DF332F">
              <w:rPr>
                <w:rStyle w:val="Hyperlink"/>
                <w:lang w:eastAsia="de-AT"/>
              </w:rPr>
              <w:t>15.</w:t>
            </w:r>
            <w:r w:rsidR="00F602E6" w:rsidRPr="00DF332F">
              <w:rPr>
                <w:rStyle w:val="Hyperlink"/>
              </w:rPr>
              <w:t xml:space="preserve"> Mechanisms for preventing and mitigating risk of the misuse of nominee arrangements</w:t>
            </w:r>
            <w:r w:rsidR="00F602E6">
              <w:rPr>
                <w:webHidden/>
              </w:rPr>
              <w:tab/>
            </w:r>
            <w:r w:rsidR="00F602E6">
              <w:rPr>
                <w:webHidden/>
              </w:rPr>
              <w:fldChar w:fldCharType="begin"/>
            </w:r>
            <w:r w:rsidR="00F602E6">
              <w:rPr>
                <w:webHidden/>
              </w:rPr>
              <w:instrText xml:space="preserve"> PAGEREF _Toc117503101 \h </w:instrText>
            </w:r>
            <w:r w:rsidR="00F602E6">
              <w:rPr>
                <w:webHidden/>
              </w:rPr>
            </w:r>
            <w:r w:rsidR="00F602E6">
              <w:rPr>
                <w:webHidden/>
              </w:rPr>
              <w:fldChar w:fldCharType="separate"/>
            </w:r>
            <w:r w:rsidR="00F602E6">
              <w:rPr>
                <w:webHidden/>
              </w:rPr>
              <w:t>38</w:t>
            </w:r>
            <w:r w:rsidR="00F602E6">
              <w:rPr>
                <w:webHidden/>
              </w:rPr>
              <w:fldChar w:fldCharType="end"/>
            </w:r>
          </w:hyperlink>
        </w:p>
        <w:p w14:paraId="100D430E" w14:textId="656A9E00" w:rsidR="00F602E6" w:rsidRDefault="005D4834">
          <w:pPr>
            <w:pStyle w:val="TOC2"/>
            <w:rPr>
              <w:rFonts w:asciiTheme="minorHAnsi" w:eastAsiaTheme="minorEastAsia" w:hAnsiTheme="minorHAnsi" w:cstheme="minorBidi"/>
              <w:sz w:val="22"/>
              <w:lang w:val="en-US"/>
            </w:rPr>
          </w:pPr>
          <w:hyperlink w:anchor="_Toc117503102" w:history="1">
            <w:r w:rsidR="00F602E6" w:rsidRPr="00DF332F">
              <w:rPr>
                <w:rStyle w:val="Hyperlink"/>
              </w:rPr>
              <w:t>15.1. Definitions</w:t>
            </w:r>
            <w:r w:rsidR="00F602E6">
              <w:rPr>
                <w:webHidden/>
              </w:rPr>
              <w:tab/>
            </w:r>
            <w:r w:rsidR="00F602E6">
              <w:rPr>
                <w:webHidden/>
              </w:rPr>
              <w:fldChar w:fldCharType="begin"/>
            </w:r>
            <w:r w:rsidR="00F602E6">
              <w:rPr>
                <w:webHidden/>
              </w:rPr>
              <w:instrText xml:space="preserve"> PAGEREF _Toc117503102 \h </w:instrText>
            </w:r>
            <w:r w:rsidR="00F602E6">
              <w:rPr>
                <w:webHidden/>
              </w:rPr>
            </w:r>
            <w:r w:rsidR="00F602E6">
              <w:rPr>
                <w:webHidden/>
              </w:rPr>
              <w:fldChar w:fldCharType="separate"/>
            </w:r>
            <w:r w:rsidR="00F602E6">
              <w:rPr>
                <w:webHidden/>
              </w:rPr>
              <w:t>38</w:t>
            </w:r>
            <w:r w:rsidR="00F602E6">
              <w:rPr>
                <w:webHidden/>
              </w:rPr>
              <w:fldChar w:fldCharType="end"/>
            </w:r>
          </w:hyperlink>
        </w:p>
        <w:p w14:paraId="67D233BE" w14:textId="0FDF957B" w:rsidR="00F602E6" w:rsidRDefault="005D4834">
          <w:pPr>
            <w:pStyle w:val="TOC2"/>
            <w:rPr>
              <w:rFonts w:asciiTheme="minorHAnsi" w:eastAsiaTheme="minorEastAsia" w:hAnsiTheme="minorHAnsi" w:cstheme="minorBidi"/>
              <w:sz w:val="22"/>
              <w:lang w:val="en-US"/>
            </w:rPr>
          </w:pPr>
          <w:hyperlink w:anchor="_Toc117503103" w:history="1">
            <w:r w:rsidR="00F602E6" w:rsidRPr="00DF332F">
              <w:rPr>
                <w:rStyle w:val="Hyperlink"/>
              </w:rPr>
              <w:t>15.2. Risks of misuse of nominee arrangements</w:t>
            </w:r>
            <w:r w:rsidR="00F602E6">
              <w:rPr>
                <w:webHidden/>
              </w:rPr>
              <w:tab/>
            </w:r>
            <w:r w:rsidR="00F602E6">
              <w:rPr>
                <w:webHidden/>
              </w:rPr>
              <w:fldChar w:fldCharType="begin"/>
            </w:r>
            <w:r w:rsidR="00F602E6">
              <w:rPr>
                <w:webHidden/>
              </w:rPr>
              <w:instrText xml:space="preserve"> PAGEREF _Toc117503103 \h </w:instrText>
            </w:r>
            <w:r w:rsidR="00F602E6">
              <w:rPr>
                <w:webHidden/>
              </w:rPr>
            </w:r>
            <w:r w:rsidR="00F602E6">
              <w:rPr>
                <w:webHidden/>
              </w:rPr>
              <w:fldChar w:fldCharType="separate"/>
            </w:r>
            <w:r w:rsidR="00F602E6">
              <w:rPr>
                <w:webHidden/>
              </w:rPr>
              <w:t>42</w:t>
            </w:r>
            <w:r w:rsidR="00F602E6">
              <w:rPr>
                <w:webHidden/>
              </w:rPr>
              <w:fldChar w:fldCharType="end"/>
            </w:r>
          </w:hyperlink>
        </w:p>
        <w:p w14:paraId="0618010E" w14:textId="7E74BF92" w:rsidR="00F602E6" w:rsidRDefault="005D4834">
          <w:pPr>
            <w:pStyle w:val="TOC3"/>
            <w:rPr>
              <w:rFonts w:asciiTheme="minorHAnsi" w:eastAsiaTheme="minorEastAsia" w:hAnsiTheme="minorHAnsi" w:cstheme="minorBidi"/>
              <w:sz w:val="22"/>
              <w:lang w:val="en-US"/>
            </w:rPr>
          </w:pPr>
          <w:hyperlink w:anchor="_Toc117503104" w:history="1">
            <w:r w:rsidR="00F602E6" w:rsidRPr="00DF332F">
              <w:rPr>
                <w:rStyle w:val="Hyperlink"/>
              </w:rPr>
              <w:t>15.2.1. “Signature for Sale” arrangements</w:t>
            </w:r>
            <w:r w:rsidR="00F602E6">
              <w:rPr>
                <w:webHidden/>
              </w:rPr>
              <w:tab/>
            </w:r>
            <w:r w:rsidR="00F602E6">
              <w:rPr>
                <w:webHidden/>
              </w:rPr>
              <w:fldChar w:fldCharType="begin"/>
            </w:r>
            <w:r w:rsidR="00F602E6">
              <w:rPr>
                <w:webHidden/>
              </w:rPr>
              <w:instrText xml:space="preserve"> PAGEREF _Toc117503104 \h </w:instrText>
            </w:r>
            <w:r w:rsidR="00F602E6">
              <w:rPr>
                <w:webHidden/>
              </w:rPr>
            </w:r>
            <w:r w:rsidR="00F602E6">
              <w:rPr>
                <w:webHidden/>
              </w:rPr>
              <w:fldChar w:fldCharType="separate"/>
            </w:r>
            <w:r w:rsidR="00F602E6">
              <w:rPr>
                <w:webHidden/>
              </w:rPr>
              <w:t>42</w:t>
            </w:r>
            <w:r w:rsidR="00F602E6">
              <w:rPr>
                <w:webHidden/>
              </w:rPr>
              <w:fldChar w:fldCharType="end"/>
            </w:r>
          </w:hyperlink>
        </w:p>
        <w:p w14:paraId="61ED2151" w14:textId="29E77860" w:rsidR="00F602E6" w:rsidRDefault="005D4834">
          <w:pPr>
            <w:pStyle w:val="TOC2"/>
            <w:rPr>
              <w:rFonts w:asciiTheme="minorHAnsi" w:eastAsiaTheme="minorEastAsia" w:hAnsiTheme="minorHAnsi" w:cstheme="minorBidi"/>
              <w:sz w:val="22"/>
              <w:lang w:val="en-US"/>
            </w:rPr>
          </w:pPr>
          <w:hyperlink w:anchor="_Toc117503105" w:history="1">
            <w:r w:rsidR="00F602E6" w:rsidRPr="00DF332F">
              <w:rPr>
                <w:rStyle w:val="Hyperlink"/>
              </w:rPr>
              <w:t>15.3. Situations where risks of misuse of nominee arrangements may be low</w:t>
            </w:r>
            <w:r w:rsidR="00F602E6">
              <w:rPr>
                <w:webHidden/>
              </w:rPr>
              <w:tab/>
            </w:r>
            <w:r w:rsidR="00F602E6">
              <w:rPr>
                <w:webHidden/>
              </w:rPr>
              <w:fldChar w:fldCharType="begin"/>
            </w:r>
            <w:r w:rsidR="00F602E6">
              <w:rPr>
                <w:webHidden/>
              </w:rPr>
              <w:instrText xml:space="preserve"> PAGEREF _Toc117503105 \h </w:instrText>
            </w:r>
            <w:r w:rsidR="00F602E6">
              <w:rPr>
                <w:webHidden/>
              </w:rPr>
            </w:r>
            <w:r w:rsidR="00F602E6">
              <w:rPr>
                <w:webHidden/>
              </w:rPr>
              <w:fldChar w:fldCharType="separate"/>
            </w:r>
            <w:r w:rsidR="00F602E6">
              <w:rPr>
                <w:webHidden/>
              </w:rPr>
              <w:t>43</w:t>
            </w:r>
            <w:r w:rsidR="00F602E6">
              <w:rPr>
                <w:webHidden/>
              </w:rPr>
              <w:fldChar w:fldCharType="end"/>
            </w:r>
          </w:hyperlink>
        </w:p>
        <w:p w14:paraId="61241935" w14:textId="1A348829" w:rsidR="00F602E6" w:rsidRDefault="005D4834">
          <w:pPr>
            <w:pStyle w:val="TOC1"/>
            <w:rPr>
              <w:rFonts w:asciiTheme="minorHAnsi" w:eastAsiaTheme="minorEastAsia" w:hAnsiTheme="minorHAnsi" w:cstheme="minorBidi"/>
              <w:b w:val="0"/>
              <w:sz w:val="22"/>
              <w:lang w:val="en-US"/>
            </w:rPr>
          </w:pPr>
          <w:hyperlink w:anchor="_Toc117503106" w:history="1">
            <w:r w:rsidR="00F602E6" w:rsidRPr="00DF332F">
              <w:rPr>
                <w:rStyle w:val="Hyperlink"/>
                <w:rFonts w:eastAsia="Calibri"/>
              </w:rPr>
              <w:t>16.</w:t>
            </w:r>
            <w:r w:rsidR="00F602E6" w:rsidRPr="00DF332F">
              <w:rPr>
                <w:rStyle w:val="Hyperlink"/>
              </w:rPr>
              <w:t xml:space="preserve"> Sanctions</w:t>
            </w:r>
            <w:r w:rsidR="00F602E6">
              <w:rPr>
                <w:webHidden/>
              </w:rPr>
              <w:tab/>
            </w:r>
            <w:r w:rsidR="00F602E6">
              <w:rPr>
                <w:webHidden/>
              </w:rPr>
              <w:fldChar w:fldCharType="begin"/>
            </w:r>
            <w:r w:rsidR="00F602E6">
              <w:rPr>
                <w:webHidden/>
              </w:rPr>
              <w:instrText xml:space="preserve"> PAGEREF _Toc117503106 \h </w:instrText>
            </w:r>
            <w:r w:rsidR="00F602E6">
              <w:rPr>
                <w:webHidden/>
              </w:rPr>
            </w:r>
            <w:r w:rsidR="00F602E6">
              <w:rPr>
                <w:webHidden/>
              </w:rPr>
              <w:fldChar w:fldCharType="separate"/>
            </w:r>
            <w:r w:rsidR="00F602E6">
              <w:rPr>
                <w:webHidden/>
              </w:rPr>
              <w:t>44</w:t>
            </w:r>
            <w:r w:rsidR="00F602E6">
              <w:rPr>
                <w:webHidden/>
              </w:rPr>
              <w:fldChar w:fldCharType="end"/>
            </w:r>
          </w:hyperlink>
        </w:p>
        <w:p w14:paraId="40E7FEF7" w14:textId="6896B03F" w:rsidR="00F602E6" w:rsidRDefault="005D4834">
          <w:pPr>
            <w:pStyle w:val="TOC1"/>
            <w:rPr>
              <w:rFonts w:asciiTheme="minorHAnsi" w:eastAsiaTheme="minorEastAsia" w:hAnsiTheme="minorHAnsi" w:cstheme="minorBidi"/>
              <w:b w:val="0"/>
              <w:sz w:val="22"/>
              <w:lang w:val="en-US"/>
            </w:rPr>
          </w:pPr>
          <w:hyperlink w:anchor="_Toc117503107" w:history="1">
            <w:r w:rsidR="00F602E6" w:rsidRPr="00DF332F">
              <w:rPr>
                <w:rStyle w:val="Hyperlink"/>
                <w:rFonts w:eastAsia="Calibri"/>
              </w:rPr>
              <w:t>17.</w:t>
            </w:r>
            <w:r w:rsidR="00F602E6" w:rsidRPr="00DF332F">
              <w:rPr>
                <w:rStyle w:val="Hyperlink"/>
              </w:rPr>
              <w:t xml:space="preserve"> Relationship between beneficial ownership obligations and other recommendations (wire transfers and virtual assets requirements</w:t>
            </w:r>
            <w:r w:rsidR="00F602E6" w:rsidRPr="00DF332F">
              <w:rPr>
                <w:rStyle w:val="Hyperlink"/>
                <w:lang w:eastAsia="de-AT"/>
              </w:rPr>
              <w:t>)</w:t>
            </w:r>
            <w:r w:rsidR="00F602E6">
              <w:rPr>
                <w:webHidden/>
              </w:rPr>
              <w:tab/>
            </w:r>
            <w:r w:rsidR="00F602E6">
              <w:rPr>
                <w:webHidden/>
              </w:rPr>
              <w:fldChar w:fldCharType="begin"/>
            </w:r>
            <w:r w:rsidR="00F602E6">
              <w:rPr>
                <w:webHidden/>
              </w:rPr>
              <w:instrText xml:space="preserve"> PAGEREF _Toc117503107 \h </w:instrText>
            </w:r>
            <w:r w:rsidR="00F602E6">
              <w:rPr>
                <w:webHidden/>
              </w:rPr>
            </w:r>
            <w:r w:rsidR="00F602E6">
              <w:rPr>
                <w:webHidden/>
              </w:rPr>
              <w:fldChar w:fldCharType="separate"/>
            </w:r>
            <w:r w:rsidR="00F602E6">
              <w:rPr>
                <w:webHidden/>
              </w:rPr>
              <w:t>44</w:t>
            </w:r>
            <w:r w:rsidR="00F602E6">
              <w:rPr>
                <w:webHidden/>
              </w:rPr>
              <w:fldChar w:fldCharType="end"/>
            </w:r>
          </w:hyperlink>
        </w:p>
        <w:p w14:paraId="1F2D151C" w14:textId="16CE9F1C" w:rsidR="00F602E6" w:rsidRDefault="005D4834">
          <w:pPr>
            <w:pStyle w:val="TOC2"/>
            <w:rPr>
              <w:rFonts w:asciiTheme="minorHAnsi" w:eastAsiaTheme="minorEastAsia" w:hAnsiTheme="minorHAnsi" w:cstheme="minorBidi"/>
              <w:sz w:val="22"/>
              <w:lang w:val="en-US"/>
            </w:rPr>
          </w:pPr>
          <w:hyperlink w:anchor="_Toc117503108" w:history="1">
            <w:r w:rsidR="00F602E6" w:rsidRPr="00DF332F">
              <w:rPr>
                <w:rStyle w:val="Hyperlink"/>
              </w:rPr>
              <w:t>17.1. Wire transfers and beneficial ownership as part of CDD</w:t>
            </w:r>
            <w:r w:rsidR="00F602E6">
              <w:rPr>
                <w:webHidden/>
              </w:rPr>
              <w:tab/>
            </w:r>
            <w:r w:rsidR="00F602E6">
              <w:rPr>
                <w:webHidden/>
              </w:rPr>
              <w:fldChar w:fldCharType="begin"/>
            </w:r>
            <w:r w:rsidR="00F602E6">
              <w:rPr>
                <w:webHidden/>
              </w:rPr>
              <w:instrText xml:space="preserve"> PAGEREF _Toc117503108 \h </w:instrText>
            </w:r>
            <w:r w:rsidR="00F602E6">
              <w:rPr>
                <w:webHidden/>
              </w:rPr>
            </w:r>
            <w:r w:rsidR="00F602E6">
              <w:rPr>
                <w:webHidden/>
              </w:rPr>
              <w:fldChar w:fldCharType="separate"/>
            </w:r>
            <w:r w:rsidR="00F602E6">
              <w:rPr>
                <w:webHidden/>
              </w:rPr>
              <w:t>44</w:t>
            </w:r>
            <w:r w:rsidR="00F602E6">
              <w:rPr>
                <w:webHidden/>
              </w:rPr>
              <w:fldChar w:fldCharType="end"/>
            </w:r>
          </w:hyperlink>
        </w:p>
        <w:p w14:paraId="1F8FA2AC" w14:textId="7E45127D" w:rsidR="00F602E6" w:rsidRDefault="005D4834">
          <w:pPr>
            <w:pStyle w:val="TOC2"/>
            <w:rPr>
              <w:rFonts w:asciiTheme="minorHAnsi" w:eastAsiaTheme="minorEastAsia" w:hAnsiTheme="minorHAnsi" w:cstheme="minorBidi"/>
              <w:sz w:val="22"/>
              <w:lang w:val="en-US"/>
            </w:rPr>
          </w:pPr>
          <w:hyperlink w:anchor="_Toc117503109" w:history="1">
            <w:r w:rsidR="00F602E6" w:rsidRPr="00DF332F">
              <w:rPr>
                <w:rStyle w:val="Hyperlink"/>
              </w:rPr>
              <w:t>17.2. Virtual assets</w:t>
            </w:r>
            <w:r w:rsidR="00F602E6">
              <w:rPr>
                <w:webHidden/>
              </w:rPr>
              <w:tab/>
            </w:r>
            <w:r w:rsidR="00F602E6">
              <w:rPr>
                <w:webHidden/>
              </w:rPr>
              <w:fldChar w:fldCharType="begin"/>
            </w:r>
            <w:r w:rsidR="00F602E6">
              <w:rPr>
                <w:webHidden/>
              </w:rPr>
              <w:instrText xml:space="preserve"> PAGEREF _Toc117503109 \h </w:instrText>
            </w:r>
            <w:r w:rsidR="00F602E6">
              <w:rPr>
                <w:webHidden/>
              </w:rPr>
            </w:r>
            <w:r w:rsidR="00F602E6">
              <w:rPr>
                <w:webHidden/>
              </w:rPr>
              <w:fldChar w:fldCharType="separate"/>
            </w:r>
            <w:r w:rsidR="00F602E6">
              <w:rPr>
                <w:webHidden/>
              </w:rPr>
              <w:t>45</w:t>
            </w:r>
            <w:r w:rsidR="00F602E6">
              <w:rPr>
                <w:webHidden/>
              </w:rPr>
              <w:fldChar w:fldCharType="end"/>
            </w:r>
          </w:hyperlink>
        </w:p>
        <w:p w14:paraId="64606F9B" w14:textId="433A6E38" w:rsidR="00F602E6" w:rsidRDefault="005D4834">
          <w:pPr>
            <w:pStyle w:val="TOC1"/>
            <w:rPr>
              <w:rFonts w:asciiTheme="minorHAnsi" w:eastAsiaTheme="minorEastAsia" w:hAnsiTheme="minorHAnsi" w:cstheme="minorBidi"/>
              <w:b w:val="0"/>
              <w:sz w:val="22"/>
              <w:lang w:val="en-US"/>
            </w:rPr>
          </w:pPr>
          <w:hyperlink w:anchor="_Toc117503110" w:history="1">
            <w:r w:rsidR="00F602E6" w:rsidRPr="00DF332F">
              <w:rPr>
                <w:rStyle w:val="Hyperlink"/>
              </w:rPr>
              <w:t>18. Applicability of relevant regulatory regimes</w:t>
            </w:r>
            <w:r w:rsidR="00F602E6">
              <w:rPr>
                <w:webHidden/>
              </w:rPr>
              <w:tab/>
            </w:r>
            <w:r w:rsidR="00F602E6">
              <w:rPr>
                <w:webHidden/>
              </w:rPr>
              <w:fldChar w:fldCharType="begin"/>
            </w:r>
            <w:r w:rsidR="00F602E6">
              <w:rPr>
                <w:webHidden/>
              </w:rPr>
              <w:instrText xml:space="preserve"> PAGEREF _Toc117503110 \h </w:instrText>
            </w:r>
            <w:r w:rsidR="00F602E6">
              <w:rPr>
                <w:webHidden/>
              </w:rPr>
            </w:r>
            <w:r w:rsidR="00F602E6">
              <w:rPr>
                <w:webHidden/>
              </w:rPr>
              <w:fldChar w:fldCharType="separate"/>
            </w:r>
            <w:r w:rsidR="00F602E6">
              <w:rPr>
                <w:webHidden/>
              </w:rPr>
              <w:t>46</w:t>
            </w:r>
            <w:r w:rsidR="00F602E6">
              <w:rPr>
                <w:webHidden/>
              </w:rPr>
              <w:fldChar w:fldCharType="end"/>
            </w:r>
          </w:hyperlink>
        </w:p>
        <w:p w14:paraId="62A68651" w14:textId="44AD44B9" w:rsidR="00F602E6" w:rsidRDefault="005D4834">
          <w:pPr>
            <w:pStyle w:val="TOC2"/>
            <w:rPr>
              <w:rFonts w:asciiTheme="minorHAnsi" w:eastAsiaTheme="minorEastAsia" w:hAnsiTheme="minorHAnsi" w:cstheme="minorBidi"/>
              <w:sz w:val="22"/>
              <w:lang w:val="en-US"/>
            </w:rPr>
          </w:pPr>
          <w:hyperlink w:anchor="_Toc117503111" w:history="1">
            <w:r w:rsidR="00F602E6" w:rsidRPr="00DF332F">
              <w:rPr>
                <w:rStyle w:val="Hyperlink"/>
              </w:rPr>
              <w:t>18.1. Information held by stock exchanges</w:t>
            </w:r>
            <w:r w:rsidR="00F602E6">
              <w:rPr>
                <w:webHidden/>
              </w:rPr>
              <w:tab/>
            </w:r>
            <w:r w:rsidR="00F602E6">
              <w:rPr>
                <w:webHidden/>
              </w:rPr>
              <w:fldChar w:fldCharType="begin"/>
            </w:r>
            <w:r w:rsidR="00F602E6">
              <w:rPr>
                <w:webHidden/>
              </w:rPr>
              <w:instrText xml:space="preserve"> PAGEREF _Toc117503111 \h </w:instrText>
            </w:r>
            <w:r w:rsidR="00F602E6">
              <w:rPr>
                <w:webHidden/>
              </w:rPr>
            </w:r>
            <w:r w:rsidR="00F602E6">
              <w:rPr>
                <w:webHidden/>
              </w:rPr>
              <w:fldChar w:fldCharType="separate"/>
            </w:r>
            <w:r w:rsidR="00F602E6">
              <w:rPr>
                <w:webHidden/>
              </w:rPr>
              <w:t>47</w:t>
            </w:r>
            <w:r w:rsidR="00F602E6">
              <w:rPr>
                <w:webHidden/>
              </w:rPr>
              <w:fldChar w:fldCharType="end"/>
            </w:r>
          </w:hyperlink>
        </w:p>
        <w:p w14:paraId="297BB8AE" w14:textId="0B03797D" w:rsidR="00F602E6" w:rsidRDefault="005D4834">
          <w:pPr>
            <w:pStyle w:val="TOC2"/>
            <w:rPr>
              <w:rFonts w:asciiTheme="minorHAnsi" w:eastAsiaTheme="minorEastAsia" w:hAnsiTheme="minorHAnsi" w:cstheme="minorBidi"/>
              <w:sz w:val="22"/>
              <w:lang w:val="en-US"/>
            </w:rPr>
          </w:pPr>
          <w:hyperlink w:anchor="_Toc117503112" w:history="1">
            <w:r w:rsidR="00F602E6" w:rsidRPr="00DF332F">
              <w:rPr>
                <w:rStyle w:val="Hyperlink"/>
              </w:rPr>
              <w:t>18.2. Trust and company service providers (TCSPs)</w:t>
            </w:r>
            <w:r w:rsidR="00F602E6">
              <w:rPr>
                <w:webHidden/>
              </w:rPr>
              <w:tab/>
            </w:r>
            <w:r w:rsidR="00F602E6">
              <w:rPr>
                <w:webHidden/>
              </w:rPr>
              <w:fldChar w:fldCharType="begin"/>
            </w:r>
            <w:r w:rsidR="00F602E6">
              <w:rPr>
                <w:webHidden/>
              </w:rPr>
              <w:instrText xml:space="preserve"> PAGEREF _Toc117503112 \h </w:instrText>
            </w:r>
            <w:r w:rsidR="00F602E6">
              <w:rPr>
                <w:webHidden/>
              </w:rPr>
            </w:r>
            <w:r w:rsidR="00F602E6">
              <w:rPr>
                <w:webHidden/>
              </w:rPr>
              <w:fldChar w:fldCharType="separate"/>
            </w:r>
            <w:r w:rsidR="00F602E6">
              <w:rPr>
                <w:webHidden/>
              </w:rPr>
              <w:t>47</w:t>
            </w:r>
            <w:r w:rsidR="00F602E6">
              <w:rPr>
                <w:webHidden/>
              </w:rPr>
              <w:fldChar w:fldCharType="end"/>
            </w:r>
          </w:hyperlink>
        </w:p>
        <w:p w14:paraId="0A68AA3B" w14:textId="599C5567" w:rsidR="00F602E6" w:rsidRDefault="005D4834">
          <w:pPr>
            <w:pStyle w:val="TOC2"/>
            <w:rPr>
              <w:rFonts w:asciiTheme="minorHAnsi" w:eastAsiaTheme="minorEastAsia" w:hAnsiTheme="minorHAnsi" w:cstheme="minorBidi"/>
              <w:sz w:val="22"/>
              <w:lang w:val="en-US"/>
            </w:rPr>
          </w:pPr>
          <w:hyperlink w:anchor="_Toc117503113" w:history="1">
            <w:r w:rsidR="00F602E6" w:rsidRPr="00DF332F">
              <w:rPr>
                <w:rStyle w:val="Hyperlink"/>
              </w:rPr>
              <w:t>18.3. Issues relating to the legal profession</w:t>
            </w:r>
            <w:r w:rsidR="00F602E6">
              <w:rPr>
                <w:webHidden/>
              </w:rPr>
              <w:tab/>
            </w:r>
            <w:r w:rsidR="00F602E6">
              <w:rPr>
                <w:webHidden/>
              </w:rPr>
              <w:fldChar w:fldCharType="begin"/>
            </w:r>
            <w:r w:rsidR="00F602E6">
              <w:rPr>
                <w:webHidden/>
              </w:rPr>
              <w:instrText xml:space="preserve"> PAGEREF _Toc117503113 \h </w:instrText>
            </w:r>
            <w:r w:rsidR="00F602E6">
              <w:rPr>
                <w:webHidden/>
              </w:rPr>
            </w:r>
            <w:r w:rsidR="00F602E6">
              <w:rPr>
                <w:webHidden/>
              </w:rPr>
              <w:fldChar w:fldCharType="separate"/>
            </w:r>
            <w:r w:rsidR="00F602E6">
              <w:rPr>
                <w:webHidden/>
              </w:rPr>
              <w:t>47</w:t>
            </w:r>
            <w:r w:rsidR="00F602E6">
              <w:rPr>
                <w:webHidden/>
              </w:rPr>
              <w:fldChar w:fldCharType="end"/>
            </w:r>
          </w:hyperlink>
        </w:p>
        <w:p w14:paraId="6C5743B1" w14:textId="365138ED" w:rsidR="00F602E6" w:rsidRDefault="005D4834">
          <w:pPr>
            <w:pStyle w:val="TOC2"/>
            <w:rPr>
              <w:rFonts w:asciiTheme="minorHAnsi" w:eastAsiaTheme="minorEastAsia" w:hAnsiTheme="minorHAnsi" w:cstheme="minorBidi"/>
              <w:sz w:val="22"/>
              <w:lang w:val="en-US"/>
            </w:rPr>
          </w:pPr>
          <w:hyperlink w:anchor="_Toc117503114" w:history="1">
            <w:r w:rsidR="00F602E6" w:rsidRPr="00DF332F">
              <w:rPr>
                <w:rStyle w:val="Hyperlink"/>
              </w:rPr>
              <w:t>18.4. Issues relating to fit and proper tests for FIs/DNFBPs/VASPs</w:t>
            </w:r>
            <w:r w:rsidR="00F602E6">
              <w:rPr>
                <w:webHidden/>
              </w:rPr>
              <w:tab/>
            </w:r>
            <w:r w:rsidR="00F602E6">
              <w:rPr>
                <w:webHidden/>
              </w:rPr>
              <w:fldChar w:fldCharType="begin"/>
            </w:r>
            <w:r w:rsidR="00F602E6">
              <w:rPr>
                <w:webHidden/>
              </w:rPr>
              <w:instrText xml:space="preserve"> PAGEREF _Toc117503114 \h </w:instrText>
            </w:r>
            <w:r w:rsidR="00F602E6">
              <w:rPr>
                <w:webHidden/>
              </w:rPr>
            </w:r>
            <w:r w:rsidR="00F602E6">
              <w:rPr>
                <w:webHidden/>
              </w:rPr>
              <w:fldChar w:fldCharType="separate"/>
            </w:r>
            <w:r w:rsidR="00F602E6">
              <w:rPr>
                <w:webHidden/>
              </w:rPr>
              <w:t>48</w:t>
            </w:r>
            <w:r w:rsidR="00F602E6">
              <w:rPr>
                <w:webHidden/>
              </w:rPr>
              <w:fldChar w:fldCharType="end"/>
            </w:r>
          </w:hyperlink>
        </w:p>
        <w:p w14:paraId="6ACCC839" w14:textId="647A0E39" w:rsidR="00F602E6" w:rsidRDefault="005D4834">
          <w:pPr>
            <w:pStyle w:val="TOC1"/>
            <w:rPr>
              <w:rFonts w:asciiTheme="minorHAnsi" w:eastAsiaTheme="minorEastAsia" w:hAnsiTheme="minorHAnsi" w:cstheme="minorBidi"/>
              <w:b w:val="0"/>
              <w:sz w:val="22"/>
              <w:lang w:val="en-US"/>
            </w:rPr>
          </w:pPr>
          <w:hyperlink w:anchor="_Toc117503115" w:history="1">
            <w:r w:rsidR="00F602E6" w:rsidRPr="00DF332F">
              <w:rPr>
                <w:rStyle w:val="Hyperlink"/>
              </w:rPr>
              <w:t>19. International co-operation</w:t>
            </w:r>
            <w:r w:rsidR="00F602E6">
              <w:rPr>
                <w:webHidden/>
              </w:rPr>
              <w:tab/>
            </w:r>
            <w:r w:rsidR="00F602E6">
              <w:rPr>
                <w:webHidden/>
              </w:rPr>
              <w:fldChar w:fldCharType="begin"/>
            </w:r>
            <w:r w:rsidR="00F602E6">
              <w:rPr>
                <w:webHidden/>
              </w:rPr>
              <w:instrText xml:space="preserve"> PAGEREF _Toc117503115 \h </w:instrText>
            </w:r>
            <w:r w:rsidR="00F602E6">
              <w:rPr>
                <w:webHidden/>
              </w:rPr>
            </w:r>
            <w:r w:rsidR="00F602E6">
              <w:rPr>
                <w:webHidden/>
              </w:rPr>
              <w:fldChar w:fldCharType="separate"/>
            </w:r>
            <w:r w:rsidR="00F602E6">
              <w:rPr>
                <w:webHidden/>
              </w:rPr>
              <w:t>49</w:t>
            </w:r>
            <w:r w:rsidR="00F602E6">
              <w:rPr>
                <w:webHidden/>
              </w:rPr>
              <w:fldChar w:fldCharType="end"/>
            </w:r>
          </w:hyperlink>
        </w:p>
        <w:p w14:paraId="309FA7FE" w14:textId="4D2A1457" w:rsidR="00EC6B4B" w:rsidRDefault="001305B9">
          <w:pPr>
            <w:pStyle w:val="Para0"/>
            <w:rPr>
              <w:b/>
              <w:lang w:val="en-US"/>
            </w:rPr>
          </w:pPr>
          <w:r>
            <w:rPr>
              <w:b/>
              <w:lang w:val="en-US"/>
            </w:rPr>
            <w:fldChar w:fldCharType="end"/>
          </w:r>
        </w:p>
      </w:sdtContent>
    </w:sdt>
    <w:p w14:paraId="77FC817A" w14:textId="77777777" w:rsidR="00EC6B4B" w:rsidRDefault="00EC6B4B">
      <w:pPr>
        <w:pStyle w:val="Para0"/>
        <w:rPr>
          <w:lang w:val="en-US"/>
        </w:rPr>
      </w:pPr>
    </w:p>
    <w:p w14:paraId="2D002D18" w14:textId="77777777" w:rsidR="00EC6B4B" w:rsidRDefault="001305B9">
      <w:pPr>
        <w:pStyle w:val="Para0"/>
        <w:rPr>
          <w:rFonts w:asciiTheme="majorHAnsi" w:hAnsiTheme="majorHAnsi"/>
          <w:sz w:val="28"/>
        </w:rPr>
      </w:pPr>
      <w:r>
        <w:br w:type="page"/>
      </w:r>
    </w:p>
    <w:p w14:paraId="7ACEAA49" w14:textId="77777777" w:rsidR="00EC6B4B" w:rsidRDefault="001305B9">
      <w:pPr>
        <w:pStyle w:val="Heading1"/>
        <w:rPr>
          <w:u w:color="000000"/>
        </w:rPr>
      </w:pPr>
      <w:bookmarkStart w:id="2" w:name="_Toc114827369"/>
      <w:bookmarkStart w:id="3" w:name="_Toc114827760"/>
      <w:bookmarkStart w:id="4" w:name="_Toc114827941"/>
      <w:bookmarkStart w:id="5" w:name="_Toc114828030"/>
      <w:bookmarkStart w:id="6" w:name="_Toc114828118"/>
      <w:bookmarkStart w:id="7" w:name="_Toc114830572"/>
      <w:bookmarkStart w:id="8" w:name="_Toc114830956"/>
      <w:bookmarkStart w:id="9" w:name="_Toc114835205"/>
      <w:bookmarkStart w:id="10" w:name="_Toc114827370"/>
      <w:bookmarkStart w:id="11" w:name="_Toc114827761"/>
      <w:bookmarkStart w:id="12" w:name="_Toc114827942"/>
      <w:bookmarkStart w:id="13" w:name="_Toc114828031"/>
      <w:bookmarkStart w:id="14" w:name="_Toc114828119"/>
      <w:bookmarkStart w:id="15" w:name="_Toc114830573"/>
      <w:bookmarkStart w:id="16" w:name="_Toc114830957"/>
      <w:bookmarkStart w:id="17" w:name="_Toc114835206"/>
      <w:bookmarkStart w:id="18" w:name="_Toc114827371"/>
      <w:bookmarkStart w:id="19" w:name="_Toc114827762"/>
      <w:bookmarkStart w:id="20" w:name="_Toc114827943"/>
      <w:bookmarkStart w:id="21" w:name="_Toc114828032"/>
      <w:bookmarkStart w:id="22" w:name="_Toc114828120"/>
      <w:bookmarkStart w:id="23" w:name="_Toc114830574"/>
      <w:bookmarkStart w:id="24" w:name="_Toc114830958"/>
      <w:bookmarkStart w:id="25" w:name="_Toc114835207"/>
      <w:bookmarkStart w:id="26" w:name="_Toc114827372"/>
      <w:bookmarkStart w:id="27" w:name="_Toc114827763"/>
      <w:bookmarkStart w:id="28" w:name="_Toc114827944"/>
      <w:bookmarkStart w:id="29" w:name="_Toc114828033"/>
      <w:bookmarkStart w:id="30" w:name="_Toc114828121"/>
      <w:bookmarkStart w:id="31" w:name="_Toc114830575"/>
      <w:bookmarkStart w:id="32" w:name="_Toc114830959"/>
      <w:bookmarkStart w:id="33" w:name="_Toc114835208"/>
      <w:bookmarkStart w:id="34" w:name="_Toc114827373"/>
      <w:bookmarkStart w:id="35" w:name="_Toc114827764"/>
      <w:bookmarkStart w:id="36" w:name="_Toc114827945"/>
      <w:bookmarkStart w:id="37" w:name="_Toc114828034"/>
      <w:bookmarkStart w:id="38" w:name="_Toc114828122"/>
      <w:bookmarkStart w:id="39" w:name="_Toc114830576"/>
      <w:bookmarkStart w:id="40" w:name="_Toc114830960"/>
      <w:bookmarkStart w:id="41" w:name="_Toc114835209"/>
      <w:bookmarkStart w:id="42" w:name="_Toc114827374"/>
      <w:bookmarkStart w:id="43" w:name="_Toc114827765"/>
      <w:bookmarkStart w:id="44" w:name="_Toc114827946"/>
      <w:bookmarkStart w:id="45" w:name="_Toc114828035"/>
      <w:bookmarkStart w:id="46" w:name="_Toc114828123"/>
      <w:bookmarkStart w:id="47" w:name="_Toc114830577"/>
      <w:bookmarkStart w:id="48" w:name="_Toc114830961"/>
      <w:bookmarkStart w:id="49" w:name="_Toc114835210"/>
      <w:bookmarkStart w:id="50" w:name="_Toc114827375"/>
      <w:bookmarkStart w:id="51" w:name="_Toc114827766"/>
      <w:bookmarkStart w:id="52" w:name="_Toc114827947"/>
      <w:bookmarkStart w:id="53" w:name="_Toc114828036"/>
      <w:bookmarkStart w:id="54" w:name="_Toc114828124"/>
      <w:bookmarkStart w:id="55" w:name="_Toc114830578"/>
      <w:bookmarkStart w:id="56" w:name="_Toc114830962"/>
      <w:bookmarkStart w:id="57" w:name="_Toc114835211"/>
      <w:bookmarkStart w:id="58" w:name="_Toc114827376"/>
      <w:bookmarkStart w:id="59" w:name="_Toc114827767"/>
      <w:bookmarkStart w:id="60" w:name="_Toc114827948"/>
      <w:bookmarkStart w:id="61" w:name="_Toc114828037"/>
      <w:bookmarkStart w:id="62" w:name="_Toc114828125"/>
      <w:bookmarkStart w:id="63" w:name="_Toc114830579"/>
      <w:bookmarkStart w:id="64" w:name="_Toc114830963"/>
      <w:bookmarkStart w:id="65" w:name="_Toc114835212"/>
      <w:bookmarkStart w:id="66" w:name="_Toc114827377"/>
      <w:bookmarkStart w:id="67" w:name="_Toc114827768"/>
      <w:bookmarkStart w:id="68" w:name="_Toc114827949"/>
      <w:bookmarkStart w:id="69" w:name="_Toc114828038"/>
      <w:bookmarkStart w:id="70" w:name="_Toc114828126"/>
      <w:bookmarkStart w:id="71" w:name="_Toc114830580"/>
      <w:bookmarkStart w:id="72" w:name="_Toc114830964"/>
      <w:bookmarkStart w:id="73" w:name="_Toc114835213"/>
      <w:bookmarkStart w:id="74" w:name="_Toc114827378"/>
      <w:bookmarkStart w:id="75" w:name="_Toc114827769"/>
      <w:bookmarkStart w:id="76" w:name="_Toc114827950"/>
      <w:bookmarkStart w:id="77" w:name="_Toc114828039"/>
      <w:bookmarkStart w:id="78" w:name="_Toc114828127"/>
      <w:bookmarkStart w:id="79" w:name="_Toc114830581"/>
      <w:bookmarkStart w:id="80" w:name="_Toc114830965"/>
      <w:bookmarkStart w:id="81" w:name="_Toc114835214"/>
      <w:bookmarkStart w:id="82" w:name="_Toc114827379"/>
      <w:bookmarkStart w:id="83" w:name="_Toc114827770"/>
      <w:bookmarkStart w:id="84" w:name="_Toc114827951"/>
      <w:bookmarkStart w:id="85" w:name="_Toc114828040"/>
      <w:bookmarkStart w:id="86" w:name="_Toc114828128"/>
      <w:bookmarkStart w:id="87" w:name="_Toc114830582"/>
      <w:bookmarkStart w:id="88" w:name="_Toc114830966"/>
      <w:bookmarkStart w:id="89" w:name="_Toc114835215"/>
      <w:bookmarkStart w:id="90" w:name="_Toc114827380"/>
      <w:bookmarkStart w:id="91" w:name="_Toc114827771"/>
      <w:bookmarkStart w:id="92" w:name="_Toc114827952"/>
      <w:bookmarkStart w:id="93" w:name="_Toc114828041"/>
      <w:bookmarkStart w:id="94" w:name="_Toc114828129"/>
      <w:bookmarkStart w:id="95" w:name="_Toc114830583"/>
      <w:bookmarkStart w:id="96" w:name="_Toc114830967"/>
      <w:bookmarkStart w:id="97" w:name="_Toc114835216"/>
      <w:bookmarkStart w:id="98" w:name="_Toc114827381"/>
      <w:bookmarkStart w:id="99" w:name="_Toc114827772"/>
      <w:bookmarkStart w:id="100" w:name="_Toc114827953"/>
      <w:bookmarkStart w:id="101" w:name="_Toc114828042"/>
      <w:bookmarkStart w:id="102" w:name="_Toc114828130"/>
      <w:bookmarkStart w:id="103" w:name="_Toc114830584"/>
      <w:bookmarkStart w:id="104" w:name="_Toc114830968"/>
      <w:bookmarkStart w:id="105" w:name="_Toc114835217"/>
      <w:bookmarkStart w:id="106" w:name="_Toc114827382"/>
      <w:bookmarkStart w:id="107" w:name="_Toc114827773"/>
      <w:bookmarkStart w:id="108" w:name="_Toc114827954"/>
      <w:bookmarkStart w:id="109" w:name="_Toc114828043"/>
      <w:bookmarkStart w:id="110" w:name="_Toc114828131"/>
      <w:bookmarkStart w:id="111" w:name="_Toc114830585"/>
      <w:bookmarkStart w:id="112" w:name="_Toc114830969"/>
      <w:bookmarkStart w:id="113" w:name="_Toc114835218"/>
      <w:bookmarkStart w:id="114" w:name="_Toc114827383"/>
      <w:bookmarkStart w:id="115" w:name="_Toc114827774"/>
      <w:bookmarkStart w:id="116" w:name="_Toc114827955"/>
      <w:bookmarkStart w:id="117" w:name="_Toc114828044"/>
      <w:bookmarkStart w:id="118" w:name="_Toc114828132"/>
      <w:bookmarkStart w:id="119" w:name="_Toc114830586"/>
      <w:bookmarkStart w:id="120" w:name="_Toc114830970"/>
      <w:bookmarkStart w:id="121" w:name="_Toc114835219"/>
      <w:bookmarkStart w:id="122" w:name="_Toc114827384"/>
      <w:bookmarkStart w:id="123" w:name="_Toc114827775"/>
      <w:bookmarkStart w:id="124" w:name="_Toc114827956"/>
      <w:bookmarkStart w:id="125" w:name="_Toc114828045"/>
      <w:bookmarkStart w:id="126" w:name="_Toc114828133"/>
      <w:bookmarkStart w:id="127" w:name="_Toc114830587"/>
      <w:bookmarkStart w:id="128" w:name="_Toc114830971"/>
      <w:bookmarkStart w:id="129" w:name="_Toc114835220"/>
      <w:bookmarkStart w:id="130" w:name="_Toc114827385"/>
      <w:bookmarkStart w:id="131" w:name="_Toc114827776"/>
      <w:bookmarkStart w:id="132" w:name="_Toc114827957"/>
      <w:bookmarkStart w:id="133" w:name="_Toc114828046"/>
      <w:bookmarkStart w:id="134" w:name="_Toc114828134"/>
      <w:bookmarkStart w:id="135" w:name="_Toc114830588"/>
      <w:bookmarkStart w:id="136" w:name="_Toc114830972"/>
      <w:bookmarkStart w:id="137" w:name="_Toc114835221"/>
      <w:bookmarkStart w:id="138" w:name="_Toc114827386"/>
      <w:bookmarkStart w:id="139" w:name="_Toc114827777"/>
      <w:bookmarkStart w:id="140" w:name="_Toc114827958"/>
      <w:bookmarkStart w:id="141" w:name="_Toc114828047"/>
      <w:bookmarkStart w:id="142" w:name="_Toc114828135"/>
      <w:bookmarkStart w:id="143" w:name="_Toc114830589"/>
      <w:bookmarkStart w:id="144" w:name="_Toc114830973"/>
      <w:bookmarkStart w:id="145" w:name="_Toc114835222"/>
      <w:bookmarkStart w:id="146" w:name="_Toc11750306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lastRenderedPageBreak/>
        <w:t>Introduction</w:t>
      </w:r>
      <w:bookmarkEnd w:id="146"/>
    </w:p>
    <w:p w14:paraId="6567B80A" w14:textId="77777777" w:rsidR="00EC6B4B" w:rsidRDefault="001305B9">
      <w:pPr>
        <w:pStyle w:val="Para"/>
        <w:numPr>
          <w:ilvl w:val="0"/>
          <w:numId w:val="58"/>
        </w:numPr>
      </w:pPr>
      <w:r>
        <w:t>Corporate vehicles</w:t>
      </w:r>
      <w:r>
        <w:rPr>
          <w:rStyle w:val="FootnoteReference"/>
        </w:rPr>
        <w:footnoteReference w:id="1"/>
      </w:r>
      <w:r>
        <w:t xml:space="preserve"> such as companies, trusts, foundations, partnerships, and other types of legal</w:t>
      </w:r>
      <w:r>
        <w:rPr>
          <w:spacing w:val="1"/>
        </w:rPr>
        <w:t xml:space="preserve"> </w:t>
      </w:r>
      <w:r>
        <w:t>persons</w:t>
      </w:r>
      <w:r>
        <w:rPr>
          <w:spacing w:val="1"/>
        </w:rPr>
        <w:t xml:space="preserve"> </w:t>
      </w:r>
      <w:r>
        <w:t>and</w:t>
      </w:r>
      <w:r>
        <w:rPr>
          <w:spacing w:val="1"/>
        </w:rPr>
        <w:t xml:space="preserve"> </w:t>
      </w:r>
      <w:r>
        <w:t>arrangements conduct</w:t>
      </w:r>
      <w:r>
        <w:rPr>
          <w:spacing w:val="1"/>
        </w:rPr>
        <w:t xml:space="preserve"> </w:t>
      </w:r>
      <w:r>
        <w:t>a</w:t>
      </w:r>
      <w:r>
        <w:rPr>
          <w:spacing w:val="1"/>
        </w:rPr>
        <w:t xml:space="preserve"> </w:t>
      </w:r>
      <w:r>
        <w:t>wide</w:t>
      </w:r>
      <w:r>
        <w:rPr>
          <w:spacing w:val="1"/>
        </w:rPr>
        <w:t xml:space="preserve"> </w:t>
      </w:r>
      <w:r>
        <w:t>variety</w:t>
      </w:r>
      <w:r>
        <w:rPr>
          <w:spacing w:val="1"/>
        </w:rPr>
        <w:t xml:space="preserve"> </w:t>
      </w:r>
      <w:r>
        <w:t>of</w:t>
      </w:r>
      <w:r>
        <w:rPr>
          <w:spacing w:val="1"/>
        </w:rPr>
        <w:t xml:space="preserve"> </w:t>
      </w:r>
      <w:r>
        <w:t>commercial</w:t>
      </w:r>
      <w:r>
        <w:rPr>
          <w:spacing w:val="1"/>
        </w:rPr>
        <w:t xml:space="preserve"> </w:t>
      </w:r>
      <w:r>
        <w:t>and</w:t>
      </w:r>
      <w:r>
        <w:rPr>
          <w:spacing w:val="1"/>
        </w:rPr>
        <w:t xml:space="preserve"> </w:t>
      </w:r>
      <w:r>
        <w:t>entrepreneurial</w:t>
      </w:r>
      <w:r>
        <w:rPr>
          <w:spacing w:val="1"/>
        </w:rPr>
        <w:t xml:space="preserve"> </w:t>
      </w:r>
      <w:r>
        <w:t>activities. Despite the essential and legitimate role that corporate vehicles play in the</w:t>
      </w:r>
      <w:r>
        <w:rPr>
          <w:spacing w:val="1"/>
        </w:rPr>
        <w:t xml:space="preserve"> </w:t>
      </w:r>
      <w:r>
        <w:t>global economy, their unique legal status also lends them to be used in complex schemes designed to conceal the true beneficial owners and, in many respects, the real reason for holding assets and conducting transactions. Corporate vehicles can be misused for various illicit purposes, including</w:t>
      </w:r>
      <w:r>
        <w:rPr>
          <w:spacing w:val="1"/>
        </w:rPr>
        <w:t xml:space="preserve"> </w:t>
      </w:r>
      <w:r>
        <w:t>money laundering (ML), bribery and corruption, insider dealings, tax fraud, terrorist financing (TF),</w:t>
      </w:r>
      <w:r>
        <w:rPr>
          <w:spacing w:val="1"/>
        </w:rPr>
        <w:t xml:space="preserve"> sanctions evasion </w:t>
      </w:r>
      <w:r>
        <w:t>and other illegal activities. For criminals trying to circumvent anti-money laundering</w:t>
      </w:r>
      <w:r>
        <w:rPr>
          <w:spacing w:val="-46"/>
        </w:rPr>
        <w:t xml:space="preserve"> </w:t>
      </w:r>
      <w:r>
        <w:t>(AML) and counter-terrorist financing (CFT) measures, corporate vehicles are an attractive way to</w:t>
      </w:r>
      <w:r>
        <w:rPr>
          <w:spacing w:val="1"/>
        </w:rPr>
        <w:t xml:space="preserve"> </w:t>
      </w:r>
      <w:r>
        <w:t>disguise</w:t>
      </w:r>
      <w:r>
        <w:rPr>
          <w:spacing w:val="-2"/>
        </w:rPr>
        <w:t xml:space="preserve"> their identity, </w:t>
      </w:r>
      <w:r>
        <w:t>and</w:t>
      </w:r>
      <w:r>
        <w:rPr>
          <w:spacing w:val="-2"/>
        </w:rPr>
        <w:t xml:space="preserve"> </w:t>
      </w:r>
      <w:r>
        <w:t>convert</w:t>
      </w:r>
      <w:r>
        <w:rPr>
          <w:spacing w:val="-2"/>
        </w:rPr>
        <w:t xml:space="preserve"> </w:t>
      </w:r>
      <w:r>
        <w:t>the</w:t>
      </w:r>
      <w:r>
        <w:rPr>
          <w:spacing w:val="-4"/>
        </w:rPr>
        <w:t xml:space="preserve"> </w:t>
      </w:r>
      <w:r>
        <w:t>proceeds</w:t>
      </w:r>
      <w:r>
        <w:rPr>
          <w:spacing w:val="-3"/>
        </w:rPr>
        <w:t xml:space="preserve"> </w:t>
      </w:r>
      <w:r>
        <w:t>of</w:t>
      </w:r>
      <w:r>
        <w:rPr>
          <w:spacing w:val="-1"/>
        </w:rPr>
        <w:t xml:space="preserve"> </w:t>
      </w:r>
      <w:r>
        <w:t>crime</w:t>
      </w:r>
      <w:r>
        <w:rPr>
          <w:spacing w:val="-1"/>
        </w:rPr>
        <w:t xml:space="preserve"> </w:t>
      </w:r>
      <w:r>
        <w:t>before</w:t>
      </w:r>
      <w:r>
        <w:rPr>
          <w:spacing w:val="-1"/>
        </w:rPr>
        <w:t xml:space="preserve"> </w:t>
      </w:r>
      <w:r>
        <w:t>introducing</w:t>
      </w:r>
      <w:r>
        <w:rPr>
          <w:spacing w:val="-3"/>
        </w:rPr>
        <w:t xml:space="preserve"> </w:t>
      </w:r>
      <w:r>
        <w:t>them into</w:t>
      </w:r>
      <w:r>
        <w:rPr>
          <w:spacing w:val="2"/>
        </w:rPr>
        <w:t xml:space="preserve"> </w:t>
      </w:r>
      <w:r>
        <w:t>the</w:t>
      </w:r>
      <w:r>
        <w:rPr>
          <w:spacing w:val="-1"/>
        </w:rPr>
        <w:t xml:space="preserve"> </w:t>
      </w:r>
      <w:r>
        <w:t>financial</w:t>
      </w:r>
      <w:r>
        <w:rPr>
          <w:spacing w:val="-4"/>
        </w:rPr>
        <w:t xml:space="preserve"> </w:t>
      </w:r>
      <w:r>
        <w:t>system.</w:t>
      </w:r>
    </w:p>
    <w:p w14:paraId="570C4BD8" w14:textId="77777777" w:rsidR="00EC6B4B" w:rsidRDefault="001305B9">
      <w:pPr>
        <w:pStyle w:val="Para"/>
      </w:pPr>
      <w:r>
        <w:t>The misuse of corporate vehicles could be significantly reduced if information regarding both</w:t>
      </w:r>
      <w:r>
        <w:rPr>
          <w:spacing w:val="1"/>
        </w:rPr>
        <w:t xml:space="preserve"> </w:t>
      </w:r>
      <w:r>
        <w:t>the</w:t>
      </w:r>
      <w:r>
        <w:rPr>
          <w:spacing w:val="1"/>
        </w:rPr>
        <w:t xml:space="preserve"> </w:t>
      </w:r>
      <w:r>
        <w:t>legal</w:t>
      </w:r>
      <w:r>
        <w:rPr>
          <w:spacing w:val="1"/>
        </w:rPr>
        <w:t xml:space="preserve"> </w:t>
      </w:r>
      <w:r>
        <w:t>owner</w:t>
      </w:r>
      <w:r>
        <w:rPr>
          <w:spacing w:val="1"/>
        </w:rPr>
        <w:t xml:space="preserve"> </w:t>
      </w:r>
      <w:r>
        <w:t>and</w:t>
      </w:r>
      <w:r>
        <w:rPr>
          <w:spacing w:val="1"/>
        </w:rPr>
        <w:t xml:space="preserve"> </w:t>
      </w:r>
      <w:r>
        <w:t>the</w:t>
      </w:r>
      <w:r>
        <w:rPr>
          <w:spacing w:val="1"/>
        </w:rPr>
        <w:t xml:space="preserve"> </w:t>
      </w:r>
      <w:r>
        <w:t>beneficial</w:t>
      </w:r>
      <w:r>
        <w:rPr>
          <w:spacing w:val="1"/>
        </w:rPr>
        <w:t xml:space="preserve"> </w:t>
      </w:r>
      <w:r>
        <w:t>owner,</w:t>
      </w:r>
      <w:r>
        <w:rPr>
          <w:spacing w:val="1"/>
        </w:rPr>
        <w:t xml:space="preserve"> </w:t>
      </w:r>
      <w:r>
        <w:t>the</w:t>
      </w:r>
      <w:r>
        <w:rPr>
          <w:spacing w:val="1"/>
        </w:rPr>
        <w:t xml:space="preserve"> </w:t>
      </w:r>
      <w:r>
        <w:t>source</w:t>
      </w:r>
      <w:r>
        <w:rPr>
          <w:spacing w:val="1"/>
        </w:rPr>
        <w:t xml:space="preserve"> </w:t>
      </w:r>
      <w:r>
        <w:t>of</w:t>
      </w:r>
      <w:r>
        <w:rPr>
          <w:spacing w:val="1"/>
        </w:rPr>
        <w:t xml:space="preserve"> </w:t>
      </w:r>
      <w:r>
        <w:t>the</w:t>
      </w:r>
      <w:r>
        <w:rPr>
          <w:spacing w:val="1"/>
        </w:rPr>
        <w:t xml:space="preserve"> </w:t>
      </w:r>
      <w:r>
        <w:t>corporate</w:t>
      </w:r>
      <w:r>
        <w:rPr>
          <w:spacing w:val="1"/>
        </w:rPr>
        <w:t xml:space="preserve"> </w:t>
      </w:r>
      <w:r>
        <w:t>vehicle’s</w:t>
      </w:r>
      <w:r>
        <w:rPr>
          <w:spacing w:val="1"/>
        </w:rPr>
        <w:t xml:space="preserve"> </w:t>
      </w:r>
      <w:r>
        <w:t>assets,</w:t>
      </w:r>
      <w:r>
        <w:rPr>
          <w:spacing w:val="1"/>
        </w:rPr>
        <w:t xml:space="preserve"> </w:t>
      </w:r>
      <w:r>
        <w:t>and</w:t>
      </w:r>
      <w:r>
        <w:rPr>
          <w:spacing w:val="1"/>
        </w:rPr>
        <w:t xml:space="preserve"> </w:t>
      </w:r>
      <w:r>
        <w:t>its</w:t>
      </w:r>
      <w:r>
        <w:rPr>
          <w:spacing w:val="-46"/>
        </w:rPr>
        <w:t xml:space="preserve">     </w:t>
      </w:r>
      <w:r>
        <w:t>activities were available to the authorities in a timely manner</w:t>
      </w:r>
      <w:r>
        <w:rPr>
          <w:rStyle w:val="FootnoteReference"/>
          <w:rFonts w:ascii="Cambria" w:hAnsi="Cambria"/>
        </w:rPr>
        <w:footnoteReference w:id="2"/>
      </w:r>
      <w:r>
        <w:rPr>
          <w:rFonts w:ascii="Cambria" w:hAnsi="Cambria"/>
        </w:rPr>
        <w:t>.</w:t>
      </w:r>
      <w:r>
        <w:rPr>
          <w:rFonts w:ascii="Cambria" w:hAnsi="Cambria"/>
          <w:position w:val="5"/>
        </w:rPr>
        <w:t xml:space="preserve"> </w:t>
      </w:r>
      <w:r>
        <w:t>In general, the lack of adequate, accurate</w:t>
      </w:r>
      <w:r>
        <w:rPr>
          <w:spacing w:val="1"/>
        </w:rPr>
        <w:t xml:space="preserve"> </w:t>
      </w:r>
      <w:r>
        <w:t>and</w:t>
      </w:r>
      <w:r>
        <w:rPr>
          <w:spacing w:val="-2"/>
        </w:rPr>
        <w:t xml:space="preserve"> </w:t>
      </w:r>
      <w:r>
        <w:t>up-to-date</w:t>
      </w:r>
      <w:r>
        <w:rPr>
          <w:spacing w:val="-1"/>
        </w:rPr>
        <w:t xml:space="preserve"> </w:t>
      </w:r>
      <w:r>
        <w:t>beneficial</w:t>
      </w:r>
      <w:r>
        <w:rPr>
          <w:spacing w:val="-1"/>
        </w:rPr>
        <w:t xml:space="preserve"> </w:t>
      </w:r>
      <w:r>
        <w:t>ownership</w:t>
      </w:r>
      <w:r>
        <w:rPr>
          <w:spacing w:val="-1"/>
        </w:rPr>
        <w:t xml:space="preserve"> </w:t>
      </w:r>
      <w:r>
        <w:t>information</w:t>
      </w:r>
      <w:r>
        <w:rPr>
          <w:spacing w:val="-2"/>
        </w:rPr>
        <w:t xml:space="preserve"> </w:t>
      </w:r>
      <w:r>
        <w:t>facilitates ML/TF</w:t>
      </w:r>
      <w:r>
        <w:rPr>
          <w:spacing w:val="-2"/>
        </w:rPr>
        <w:t xml:space="preserve"> </w:t>
      </w:r>
      <w:r>
        <w:t>by</w:t>
      </w:r>
      <w:r>
        <w:rPr>
          <w:spacing w:val="-1"/>
        </w:rPr>
        <w:t xml:space="preserve"> </w:t>
      </w:r>
      <w:r>
        <w:t>disguising:</w:t>
      </w:r>
    </w:p>
    <w:p w14:paraId="0DC6931C" w14:textId="77777777" w:rsidR="00EC6B4B" w:rsidRDefault="001305B9">
      <w:pPr>
        <w:pStyle w:val="BulletedList"/>
      </w:pPr>
      <w:r>
        <w:t>the</w:t>
      </w:r>
      <w:r>
        <w:rPr>
          <w:spacing w:val="-2"/>
        </w:rPr>
        <w:t xml:space="preserve"> </w:t>
      </w:r>
      <w:r>
        <w:rPr>
          <w:b/>
        </w:rPr>
        <w:t>identity</w:t>
      </w:r>
      <w:r>
        <w:rPr>
          <w:b/>
          <w:spacing w:val="-3"/>
        </w:rPr>
        <w:t xml:space="preserve"> </w:t>
      </w:r>
      <w:r>
        <w:t>of</w:t>
      </w:r>
      <w:r>
        <w:rPr>
          <w:spacing w:val="-2"/>
        </w:rPr>
        <w:t xml:space="preserve"> </w:t>
      </w:r>
      <w:r>
        <w:t>known</w:t>
      </w:r>
      <w:r>
        <w:rPr>
          <w:spacing w:val="-2"/>
        </w:rPr>
        <w:t xml:space="preserve"> </w:t>
      </w:r>
      <w:r>
        <w:t>or</w:t>
      </w:r>
      <w:r>
        <w:rPr>
          <w:spacing w:val="-5"/>
        </w:rPr>
        <w:t xml:space="preserve"> </w:t>
      </w:r>
      <w:r>
        <w:t>suspected</w:t>
      </w:r>
      <w:r>
        <w:rPr>
          <w:spacing w:val="-2"/>
        </w:rPr>
        <w:t xml:space="preserve"> </w:t>
      </w:r>
      <w:r>
        <w:t>criminals,</w:t>
      </w:r>
    </w:p>
    <w:p w14:paraId="16065365" w14:textId="77777777" w:rsidR="00EC6B4B" w:rsidRDefault="001305B9">
      <w:pPr>
        <w:pStyle w:val="BulletedList"/>
      </w:pPr>
      <w:r>
        <w:t xml:space="preserve">the true </w:t>
      </w:r>
      <w:r>
        <w:rPr>
          <w:b/>
        </w:rPr>
        <w:t xml:space="preserve">purpose </w:t>
      </w:r>
      <w:r>
        <w:t>of an account or property held by a corporate vehicle,</w:t>
      </w:r>
      <w:r>
        <w:rPr>
          <w:spacing w:val="-46"/>
        </w:rPr>
        <w:t xml:space="preserve"> </w:t>
      </w:r>
      <w:r>
        <w:t>and/or</w:t>
      </w:r>
    </w:p>
    <w:p w14:paraId="0BBA0257" w14:textId="77777777" w:rsidR="00EC6B4B" w:rsidRDefault="001305B9">
      <w:pPr>
        <w:pStyle w:val="BulletedList"/>
      </w:pPr>
      <w:r>
        <w:t>the</w:t>
      </w:r>
      <w:r>
        <w:rPr>
          <w:spacing w:val="-2"/>
        </w:rPr>
        <w:t xml:space="preserve"> </w:t>
      </w:r>
      <w:r>
        <w:rPr>
          <w:b/>
        </w:rPr>
        <w:t>source</w:t>
      </w:r>
      <w:r>
        <w:rPr>
          <w:b/>
          <w:spacing w:val="-2"/>
        </w:rPr>
        <w:t xml:space="preserve"> </w:t>
      </w:r>
      <w:r>
        <w:rPr>
          <w:b/>
        </w:rPr>
        <w:t>or</w:t>
      </w:r>
      <w:r>
        <w:rPr>
          <w:b/>
          <w:spacing w:val="-3"/>
        </w:rPr>
        <w:t xml:space="preserve"> </w:t>
      </w:r>
      <w:r>
        <w:rPr>
          <w:b/>
        </w:rPr>
        <w:t>use</w:t>
      </w:r>
      <w:r>
        <w:rPr>
          <w:b/>
          <w:spacing w:val="-2"/>
        </w:rPr>
        <w:t xml:space="preserve"> </w:t>
      </w:r>
      <w:r>
        <w:t>of</w:t>
      </w:r>
      <w:r>
        <w:rPr>
          <w:spacing w:val="-2"/>
        </w:rPr>
        <w:t xml:space="preserve"> </w:t>
      </w:r>
      <w:r>
        <w:t>funds or</w:t>
      </w:r>
      <w:r>
        <w:rPr>
          <w:spacing w:val="-3"/>
        </w:rPr>
        <w:t xml:space="preserve"> </w:t>
      </w:r>
      <w:r>
        <w:t>property</w:t>
      </w:r>
      <w:r>
        <w:rPr>
          <w:spacing w:val="-3"/>
        </w:rPr>
        <w:t xml:space="preserve"> </w:t>
      </w:r>
      <w:r>
        <w:t>associated</w:t>
      </w:r>
      <w:r>
        <w:rPr>
          <w:spacing w:val="-3"/>
        </w:rPr>
        <w:t xml:space="preserve"> </w:t>
      </w:r>
      <w:r>
        <w:t>with</w:t>
      </w:r>
      <w:r>
        <w:rPr>
          <w:spacing w:val="-2"/>
        </w:rPr>
        <w:t xml:space="preserve"> </w:t>
      </w:r>
      <w:r>
        <w:t>a</w:t>
      </w:r>
      <w:r>
        <w:rPr>
          <w:spacing w:val="-2"/>
        </w:rPr>
        <w:t xml:space="preserve"> </w:t>
      </w:r>
      <w:r>
        <w:t>corporate</w:t>
      </w:r>
      <w:r>
        <w:rPr>
          <w:spacing w:val="-2"/>
        </w:rPr>
        <w:t xml:space="preserve"> </w:t>
      </w:r>
      <w:r>
        <w:t>vehicle.</w:t>
      </w:r>
    </w:p>
    <w:p w14:paraId="79F8835E" w14:textId="77777777" w:rsidR="00EC6B4B" w:rsidRDefault="001305B9">
      <w:pPr>
        <w:pStyle w:val="Para"/>
        <w:rPr>
          <w:b/>
        </w:rPr>
      </w:pPr>
      <w:r>
        <w:t xml:space="preserve">Beneficial ownership information can be obscured through, for example, </w:t>
      </w:r>
      <w:r>
        <w:rPr>
          <w:b/>
        </w:rPr>
        <w:t>shell</w:t>
      </w:r>
      <w:r>
        <w:rPr>
          <w:b/>
          <w:spacing w:val="1"/>
        </w:rPr>
        <w:t xml:space="preserve"> </w:t>
      </w:r>
      <w:r>
        <w:rPr>
          <w:b/>
        </w:rPr>
        <w:t>companies</w:t>
      </w:r>
      <w:r>
        <w:rPr>
          <w:rStyle w:val="FootnoteReference"/>
          <w:b/>
        </w:rPr>
        <w:footnoteReference w:id="3"/>
      </w:r>
      <w:r>
        <w:rPr>
          <w:b/>
        </w:rPr>
        <w:t>, complex ownership</w:t>
      </w:r>
      <w:r>
        <w:rPr>
          <w:b/>
          <w:spacing w:val="1"/>
        </w:rPr>
        <w:t xml:space="preserve"> </w:t>
      </w:r>
      <w:r>
        <w:rPr>
          <w:b/>
        </w:rPr>
        <w:t>and</w:t>
      </w:r>
      <w:r>
        <w:rPr>
          <w:b/>
          <w:spacing w:val="1"/>
        </w:rPr>
        <w:t xml:space="preserve"> </w:t>
      </w:r>
      <w:r>
        <w:rPr>
          <w:b/>
        </w:rPr>
        <w:t>control</w:t>
      </w:r>
      <w:r>
        <w:rPr>
          <w:b/>
          <w:spacing w:val="1"/>
        </w:rPr>
        <w:t xml:space="preserve"> </w:t>
      </w:r>
      <w:r>
        <w:rPr>
          <w:b/>
        </w:rPr>
        <w:t>structures</w:t>
      </w:r>
      <w:r>
        <w:rPr>
          <w:b/>
          <w:spacing w:val="1"/>
        </w:rPr>
        <w:t xml:space="preserve"> </w:t>
      </w:r>
      <w:r>
        <w:t>involving</w:t>
      </w:r>
      <w:r>
        <w:rPr>
          <w:spacing w:val="1"/>
        </w:rPr>
        <w:t xml:space="preserve"> </w:t>
      </w:r>
      <w:r>
        <w:t>many</w:t>
      </w:r>
      <w:r>
        <w:rPr>
          <w:spacing w:val="1"/>
        </w:rPr>
        <w:t xml:space="preserve"> </w:t>
      </w:r>
      <w:r>
        <w:t>layers</w:t>
      </w:r>
      <w:r>
        <w:rPr>
          <w:spacing w:val="1"/>
        </w:rPr>
        <w:t xml:space="preserve"> </w:t>
      </w:r>
      <w:r>
        <w:t>of</w:t>
      </w:r>
      <w:r>
        <w:rPr>
          <w:spacing w:val="1"/>
        </w:rPr>
        <w:t xml:space="preserve"> </w:t>
      </w:r>
      <w:r>
        <w:t>shares</w:t>
      </w:r>
      <w:r>
        <w:rPr>
          <w:spacing w:val="1"/>
        </w:rPr>
        <w:t xml:space="preserve"> </w:t>
      </w:r>
      <w:r>
        <w:t>registered</w:t>
      </w:r>
      <w:r>
        <w:rPr>
          <w:spacing w:val="-2"/>
        </w:rPr>
        <w:t xml:space="preserve"> </w:t>
      </w:r>
      <w:r>
        <w:t>in</w:t>
      </w:r>
      <w:r>
        <w:rPr>
          <w:spacing w:val="-1"/>
        </w:rPr>
        <w:t xml:space="preserve"> </w:t>
      </w:r>
      <w:r>
        <w:t>the name of</w:t>
      </w:r>
      <w:r>
        <w:rPr>
          <w:spacing w:val="-3"/>
        </w:rPr>
        <w:t xml:space="preserve"> </w:t>
      </w:r>
      <w:r>
        <w:t>other</w:t>
      </w:r>
      <w:r>
        <w:rPr>
          <w:spacing w:val="-1"/>
        </w:rPr>
        <w:t xml:space="preserve"> </w:t>
      </w:r>
      <w:r>
        <w:t xml:space="preserve">legal persons, bearer shares and bearer share warrants, </w:t>
      </w:r>
      <w:r>
        <w:rPr>
          <w:b/>
        </w:rPr>
        <w:t>unrestricted use of legal persons as directors, formal nominee</w:t>
      </w:r>
      <w:r>
        <w:rPr>
          <w:b/>
          <w:spacing w:val="9"/>
        </w:rPr>
        <w:t xml:space="preserve"> </w:t>
      </w:r>
      <w:r>
        <w:rPr>
          <w:b/>
        </w:rPr>
        <w:t>shareholders</w:t>
      </w:r>
      <w:r>
        <w:rPr>
          <w:b/>
          <w:spacing w:val="8"/>
        </w:rPr>
        <w:t xml:space="preserve"> </w:t>
      </w:r>
      <w:r>
        <w:rPr>
          <w:b/>
        </w:rPr>
        <w:t>and</w:t>
      </w:r>
      <w:r>
        <w:rPr>
          <w:b/>
          <w:spacing w:val="9"/>
        </w:rPr>
        <w:t xml:space="preserve"> </w:t>
      </w:r>
      <w:r>
        <w:rPr>
          <w:b/>
        </w:rPr>
        <w:t>directors</w:t>
      </w:r>
      <w:r>
        <w:rPr>
          <w:b/>
          <w:spacing w:val="11"/>
        </w:rPr>
        <w:t xml:space="preserve"> </w:t>
      </w:r>
      <w:r>
        <w:t>where</w:t>
      </w:r>
      <w:r>
        <w:rPr>
          <w:spacing w:val="9"/>
        </w:rPr>
        <w:t xml:space="preserve"> </w:t>
      </w:r>
      <w:r>
        <w:t>the</w:t>
      </w:r>
      <w:r>
        <w:rPr>
          <w:spacing w:val="9"/>
        </w:rPr>
        <w:t xml:space="preserve"> </w:t>
      </w:r>
      <w:r>
        <w:t>identity</w:t>
      </w:r>
      <w:r>
        <w:rPr>
          <w:spacing w:val="8"/>
        </w:rPr>
        <w:t xml:space="preserve"> </w:t>
      </w:r>
      <w:r>
        <w:t>of</w:t>
      </w:r>
      <w:r>
        <w:rPr>
          <w:spacing w:val="10"/>
        </w:rPr>
        <w:t xml:space="preserve"> </w:t>
      </w:r>
      <w:r>
        <w:t>the</w:t>
      </w:r>
      <w:r>
        <w:rPr>
          <w:spacing w:val="9"/>
        </w:rPr>
        <w:t xml:space="preserve"> </w:t>
      </w:r>
      <w:r>
        <w:t>nominator</w:t>
      </w:r>
      <w:r>
        <w:rPr>
          <w:spacing w:val="9"/>
        </w:rPr>
        <w:t xml:space="preserve"> </w:t>
      </w:r>
      <w:r>
        <w:t>is</w:t>
      </w:r>
      <w:r>
        <w:rPr>
          <w:spacing w:val="-45"/>
        </w:rPr>
        <w:t xml:space="preserve"> </w:t>
      </w:r>
      <w:r>
        <w:t xml:space="preserve">undisclosed, </w:t>
      </w:r>
      <w:r>
        <w:rPr>
          <w:b/>
        </w:rPr>
        <w:t>informal nominee</w:t>
      </w:r>
      <w:r>
        <w:rPr>
          <w:b/>
          <w:spacing w:val="11"/>
        </w:rPr>
        <w:t xml:space="preserve"> </w:t>
      </w:r>
      <w:r>
        <w:rPr>
          <w:b/>
        </w:rPr>
        <w:t>shareholders</w:t>
      </w:r>
      <w:r>
        <w:rPr>
          <w:b/>
          <w:spacing w:val="12"/>
        </w:rPr>
        <w:t xml:space="preserve"> </w:t>
      </w:r>
      <w:r>
        <w:rPr>
          <w:b/>
        </w:rPr>
        <w:t>and</w:t>
      </w:r>
      <w:r>
        <w:rPr>
          <w:b/>
          <w:spacing w:val="13"/>
        </w:rPr>
        <w:t xml:space="preserve"> </w:t>
      </w:r>
      <w:r>
        <w:rPr>
          <w:b/>
        </w:rPr>
        <w:t>directors</w:t>
      </w:r>
      <w:r>
        <w:t>,</w:t>
      </w:r>
      <w:r>
        <w:rPr>
          <w:spacing w:val="11"/>
        </w:rPr>
        <w:t xml:space="preserve"> </w:t>
      </w:r>
      <w:r>
        <w:t>such</w:t>
      </w:r>
      <w:r>
        <w:rPr>
          <w:spacing w:val="12"/>
        </w:rPr>
        <w:t xml:space="preserve"> </w:t>
      </w:r>
      <w:r>
        <w:t>as</w:t>
      </w:r>
      <w:r>
        <w:rPr>
          <w:spacing w:val="11"/>
        </w:rPr>
        <w:t xml:space="preserve"> </w:t>
      </w:r>
      <w:r>
        <w:t>close</w:t>
      </w:r>
      <w:r>
        <w:rPr>
          <w:spacing w:val="10"/>
        </w:rPr>
        <w:t xml:space="preserve"> </w:t>
      </w:r>
      <w:r>
        <w:t>associates</w:t>
      </w:r>
      <w:r>
        <w:rPr>
          <w:spacing w:val="14"/>
        </w:rPr>
        <w:t xml:space="preserve"> </w:t>
      </w:r>
      <w:r>
        <w:t>and</w:t>
      </w:r>
      <w:r>
        <w:rPr>
          <w:spacing w:val="13"/>
        </w:rPr>
        <w:t xml:space="preserve"> </w:t>
      </w:r>
      <w:r>
        <w:t>family.</w:t>
      </w:r>
    </w:p>
    <w:p w14:paraId="4DD49D17" w14:textId="77777777" w:rsidR="00EC6B4B" w:rsidRDefault="001305B9">
      <w:pPr>
        <w:pStyle w:val="Para"/>
      </w:pPr>
      <w:r>
        <w:t>Legal and beneficial ownership information can</w:t>
      </w:r>
      <w:r>
        <w:rPr>
          <w:spacing w:val="1"/>
        </w:rPr>
        <w:t xml:space="preserve"> </w:t>
      </w:r>
      <w:r>
        <w:t>assist competent authorities</w:t>
      </w:r>
      <w:r>
        <w:rPr>
          <w:rStyle w:val="FootnoteReference"/>
        </w:rPr>
        <w:footnoteReference w:id="4"/>
      </w:r>
      <w:r>
        <w:t>, in particular law enforcement authorities and financial intelligence units (FIUs), by identifying those natural persons who</w:t>
      </w:r>
      <w:r>
        <w:rPr>
          <w:spacing w:val="1"/>
        </w:rPr>
        <w:t xml:space="preserve"> </w:t>
      </w:r>
      <w:r>
        <w:t>may be responsible for the underlying activity of concern, or who may have relevant information to</w:t>
      </w:r>
      <w:r>
        <w:rPr>
          <w:spacing w:val="1"/>
        </w:rPr>
        <w:t xml:space="preserve"> </w:t>
      </w:r>
      <w:r>
        <w:t>further an investigation. This allows the authorities to “follow the money” in financial investigations</w:t>
      </w:r>
      <w:r>
        <w:rPr>
          <w:spacing w:val="1"/>
        </w:rPr>
        <w:t xml:space="preserve"> and financial intelligence </w:t>
      </w:r>
      <w:r>
        <w:t xml:space="preserve">involving suspect or potentially suspect accounts/assets held by corporate vehicles. In </w:t>
      </w:r>
      <w:r>
        <w:lastRenderedPageBreak/>
        <w:t>particular, beneficial ownership</w:t>
      </w:r>
      <w:r>
        <w:rPr>
          <w:spacing w:val="1"/>
        </w:rPr>
        <w:t xml:space="preserve"> </w:t>
      </w:r>
      <w:r>
        <w:t>information</w:t>
      </w:r>
      <w:r>
        <w:rPr>
          <w:rStyle w:val="FootnoteReference"/>
        </w:rPr>
        <w:footnoteReference w:id="5"/>
      </w:r>
      <w:r>
        <w:rPr>
          <w:spacing w:val="1"/>
          <w:position w:val="5"/>
        </w:rPr>
        <w:t xml:space="preserve"> </w:t>
      </w:r>
      <w:r>
        <w:t>can also help locate a given person’s assets within a jurisdiction. Enhancing the transparency of legal persons makes</w:t>
      </w:r>
      <w:r>
        <w:rPr>
          <w:spacing w:val="1"/>
        </w:rPr>
        <w:t xml:space="preserve"> </w:t>
      </w:r>
      <w:r>
        <w:t>them</w:t>
      </w:r>
      <w:r>
        <w:rPr>
          <w:spacing w:val="1"/>
        </w:rPr>
        <w:t xml:space="preserve"> </w:t>
      </w:r>
      <w:r>
        <w:t>less</w:t>
      </w:r>
      <w:r>
        <w:rPr>
          <w:spacing w:val="1"/>
        </w:rPr>
        <w:t xml:space="preserve"> </w:t>
      </w:r>
      <w:r>
        <w:t>attractive</w:t>
      </w:r>
      <w:r>
        <w:rPr>
          <w:spacing w:val="1"/>
        </w:rPr>
        <w:t xml:space="preserve"> </w:t>
      </w:r>
      <w:r>
        <w:t>for</w:t>
      </w:r>
      <w:r>
        <w:rPr>
          <w:spacing w:val="1"/>
        </w:rPr>
        <w:t xml:space="preserve"> </w:t>
      </w:r>
      <w:r>
        <w:t>criminals in hiding their real identities.</w:t>
      </w:r>
      <w:r>
        <w:rPr>
          <w:spacing w:val="1"/>
        </w:rPr>
        <w:t xml:space="preserve"> The companies themselves, </w:t>
      </w:r>
      <w:r>
        <w:t>financial</w:t>
      </w:r>
      <w:r>
        <w:rPr>
          <w:spacing w:val="1"/>
        </w:rPr>
        <w:t xml:space="preserve"> </w:t>
      </w:r>
      <w:r>
        <w:t>institutions</w:t>
      </w:r>
      <w:r>
        <w:rPr>
          <w:spacing w:val="1"/>
        </w:rPr>
        <w:t xml:space="preserve"> </w:t>
      </w:r>
      <w:r>
        <w:t>and</w:t>
      </w:r>
      <w:r>
        <w:rPr>
          <w:spacing w:val="1"/>
        </w:rPr>
        <w:t xml:space="preserve"> </w:t>
      </w:r>
      <w:r>
        <w:t>DNFBPs</w:t>
      </w:r>
      <w:r>
        <w:rPr>
          <w:spacing w:val="1"/>
        </w:rPr>
        <w:t xml:space="preserve"> </w:t>
      </w:r>
      <w:r>
        <w:t>also</w:t>
      </w:r>
      <w:r>
        <w:rPr>
          <w:spacing w:val="1"/>
        </w:rPr>
        <w:t xml:space="preserve"> </w:t>
      </w:r>
      <w:r>
        <w:t>play</w:t>
      </w:r>
      <w:r>
        <w:rPr>
          <w:spacing w:val="1"/>
        </w:rPr>
        <w:t xml:space="preserve"> </w:t>
      </w:r>
      <w:r>
        <w:t>an</w:t>
      </w:r>
      <w:r>
        <w:rPr>
          <w:spacing w:val="1"/>
        </w:rPr>
        <w:t xml:space="preserve"> </w:t>
      </w:r>
      <w:r>
        <w:t>important role in enhancing transparency by obtaining beneficial ownership information, which helps prevent the misuse of</w:t>
      </w:r>
      <w:r>
        <w:rPr>
          <w:spacing w:val="1"/>
        </w:rPr>
        <w:t xml:space="preserve"> </w:t>
      </w:r>
      <w:r>
        <w:t>legal persons in the</w:t>
      </w:r>
      <w:r>
        <w:rPr>
          <w:spacing w:val="1"/>
        </w:rPr>
        <w:t xml:space="preserve"> </w:t>
      </w:r>
      <w:r>
        <w:t>financial system.</w:t>
      </w:r>
      <w:r>
        <w:rPr>
          <w:spacing w:val="1"/>
        </w:rPr>
        <w:t xml:space="preserve"> </w:t>
      </w:r>
      <w:r>
        <w:t>However, it could be challenging</w:t>
      </w:r>
      <w:r>
        <w:rPr>
          <w:spacing w:val="1"/>
        </w:rPr>
        <w:t xml:space="preserve"> </w:t>
      </w:r>
      <w:r>
        <w:t>to</w:t>
      </w:r>
      <w:r>
        <w:rPr>
          <w:spacing w:val="1"/>
        </w:rPr>
        <w:t xml:space="preserve"> </w:t>
      </w:r>
      <w:r>
        <w:t>ensure</w:t>
      </w:r>
      <w:r>
        <w:rPr>
          <w:spacing w:val="1"/>
        </w:rPr>
        <w:t xml:space="preserve"> that </w:t>
      </w:r>
      <w:r>
        <w:t>the</w:t>
      </w:r>
      <w:r>
        <w:rPr>
          <w:spacing w:val="1"/>
        </w:rPr>
        <w:t xml:space="preserve"> </w:t>
      </w:r>
      <w:r>
        <w:t>beneficial</w:t>
      </w:r>
      <w:r>
        <w:rPr>
          <w:spacing w:val="1"/>
        </w:rPr>
        <w:t xml:space="preserve"> </w:t>
      </w:r>
      <w:r>
        <w:t>owner</w:t>
      </w:r>
      <w:r>
        <w:rPr>
          <w:spacing w:val="1"/>
        </w:rPr>
        <w:t xml:space="preserve"> </w:t>
      </w:r>
      <w:r>
        <w:t>information is adequate, accurate and up-to-date,</w:t>
      </w:r>
      <w:r>
        <w:rPr>
          <w:spacing w:val="1"/>
        </w:rPr>
        <w:t xml:space="preserve"> </w:t>
      </w:r>
      <w:r>
        <w:t>particularly</w:t>
      </w:r>
      <w:r>
        <w:rPr>
          <w:spacing w:val="1"/>
        </w:rPr>
        <w:t xml:space="preserve"> </w:t>
      </w:r>
      <w:r>
        <w:t>when</w:t>
      </w:r>
      <w:r>
        <w:rPr>
          <w:spacing w:val="1"/>
        </w:rPr>
        <w:t xml:space="preserve"> </w:t>
      </w:r>
      <w:r>
        <w:t>the ownership chain</w:t>
      </w:r>
      <w:r>
        <w:rPr>
          <w:spacing w:val="1"/>
        </w:rPr>
        <w:t xml:space="preserve"> </w:t>
      </w:r>
      <w:r>
        <w:t>involves</w:t>
      </w:r>
      <w:r>
        <w:rPr>
          <w:spacing w:val="48"/>
        </w:rPr>
        <w:t xml:space="preserve"> </w:t>
      </w:r>
      <w:r>
        <w:t>legal</w:t>
      </w:r>
      <w:r>
        <w:rPr>
          <w:spacing w:val="1"/>
        </w:rPr>
        <w:t xml:space="preserve"> </w:t>
      </w:r>
      <w:r>
        <w:t>persons and</w:t>
      </w:r>
      <w:r>
        <w:rPr>
          <w:spacing w:val="-1"/>
        </w:rPr>
        <w:t xml:space="preserve"> </w:t>
      </w:r>
      <w:r>
        <w:t>legal</w:t>
      </w:r>
      <w:r>
        <w:rPr>
          <w:spacing w:val="-1"/>
        </w:rPr>
        <w:t xml:space="preserve"> </w:t>
      </w:r>
      <w:r>
        <w:t>arrangements</w:t>
      </w:r>
      <w:r>
        <w:rPr>
          <w:spacing w:val="-2"/>
        </w:rPr>
        <w:t xml:space="preserve"> </w:t>
      </w:r>
      <w:r>
        <w:t>spread</w:t>
      </w:r>
      <w:r>
        <w:rPr>
          <w:spacing w:val="-2"/>
        </w:rPr>
        <w:t xml:space="preserve"> </w:t>
      </w:r>
      <w:r>
        <w:t>across</w:t>
      </w:r>
      <w:r>
        <w:rPr>
          <w:spacing w:val="1"/>
        </w:rPr>
        <w:t xml:space="preserve"> </w:t>
      </w:r>
      <w:r>
        <w:t>multiple</w:t>
      </w:r>
      <w:r>
        <w:rPr>
          <w:spacing w:val="-1"/>
        </w:rPr>
        <w:t xml:space="preserve"> </w:t>
      </w:r>
      <w:r>
        <w:t>jurisdictions</w:t>
      </w:r>
      <w:r>
        <w:rPr>
          <w:rStyle w:val="FootnoteReference"/>
        </w:rPr>
        <w:footnoteReference w:id="6"/>
      </w:r>
      <w:r>
        <w:t>, or complex networks comprising multiple layers of corporate vehicles. The lack of such information of legal persons by law enforcement, FIUs and other competent authorities is a significant impediment to investigation and the production of financial intelligence.</w:t>
      </w:r>
    </w:p>
    <w:p w14:paraId="709B6394" w14:textId="77777777" w:rsidR="00EC6B4B" w:rsidRDefault="001305B9">
      <w:pPr>
        <w:pStyle w:val="Heading2"/>
      </w:pPr>
      <w:bookmarkStart w:id="147" w:name="_Toc117503062"/>
      <w:r>
        <w:t>Revisions to Recommendation 24</w:t>
      </w:r>
      <w:bookmarkEnd w:id="147"/>
    </w:p>
    <w:p w14:paraId="14481802" w14:textId="77777777" w:rsidR="00EC6B4B" w:rsidRDefault="001305B9">
      <w:pPr>
        <w:pStyle w:val="Para"/>
      </w:pPr>
      <w:r>
        <w:t>To tackle these issues, the Financial Action Task Force (FATF) established the first international beneficial ownership transparency standard in 2003 and strengthened it in 2012. To respond to the significant misuse of legal persons for money laundering, terrorist financing, and also for proliferation financing in a number of jurisdictions, the FATF has recently strengthened the international standards on beneficial ownership of legal persons</w:t>
      </w:r>
      <w:r>
        <w:rPr>
          <w:rStyle w:val="FootnoteReference"/>
        </w:rPr>
        <w:footnoteReference w:id="7"/>
      </w:r>
      <w:r>
        <w:t>, to</w:t>
      </w:r>
      <w:r>
        <w:rPr>
          <w:spacing w:val="1"/>
        </w:rPr>
        <w:t xml:space="preserve"> better </w:t>
      </w:r>
      <w:r>
        <w:t>prevent and deter the misuse of legal persons. The changes also respond to the outcomes of FATF Mutual Evaluations which show a generally insufficient level of effectiveness in combating the misuse of legal persons for ML/TF globally</w:t>
      </w:r>
      <w:r>
        <w:rPr>
          <w:rStyle w:val="FootnoteReference"/>
        </w:rPr>
        <w:footnoteReference w:id="8"/>
      </w:r>
      <w:r>
        <w:t>.</w:t>
      </w:r>
    </w:p>
    <w:p w14:paraId="2CCDC64A" w14:textId="77777777" w:rsidR="00EC6B4B" w:rsidRDefault="001305B9">
      <w:pPr>
        <w:pStyle w:val="Para"/>
      </w:pPr>
      <w:r>
        <w:t>The revised Recommendation 24 explicitly requires countries</w:t>
      </w:r>
      <w:r>
        <w:rPr>
          <w:rStyle w:val="FootnoteReference"/>
        </w:rPr>
        <w:footnoteReference w:id="9"/>
      </w:r>
      <w:r>
        <w:rPr>
          <w:rStyle w:val="FootnoteReference"/>
        </w:rPr>
        <w:t xml:space="preserve"> </w:t>
      </w:r>
      <w:r>
        <w:t xml:space="preserve">to use a multi-pronged approach, i.e. to use a combination of different mechanisms, for collection of beneficial ownership information to ensure that adequate, accurate and up-to-date information on the beneficial ownership of legal persons is available and can be accessed by the competent authorities in a timely manner. </w:t>
      </w:r>
      <w:bookmarkStart w:id="148" w:name="_Hlk114664041"/>
      <w:r>
        <w:t>To the extent that such information is made available to financial institutions (FIs) and designated non-financial businesses and professions (DNFBPs)</w:t>
      </w:r>
      <w:r>
        <w:rPr>
          <w:rStyle w:val="FootnoteReference"/>
        </w:rPr>
        <w:footnoteReference w:id="10"/>
      </w:r>
      <w:r>
        <w:t xml:space="preserve">, it may help them  to implement the customer due diligence (CDD) requirements on corporate vehicles including in relation to the requirement </w:t>
      </w:r>
      <w:bookmarkEnd w:id="148"/>
      <w:r>
        <w:t xml:space="preserve">to identify the beneficial owner, identify and manage ML/TF risks, and implement AML/CFT controls and measures based on those risks (including suspicious transaction reporting and sanctions implementation requirements). </w:t>
      </w:r>
    </w:p>
    <w:p w14:paraId="6D3CDC3F" w14:textId="77777777" w:rsidR="00EC6B4B" w:rsidRDefault="001305B9">
      <w:pPr>
        <w:pStyle w:val="Para"/>
      </w:pPr>
      <w:r>
        <w:t>The revisions to Recommendation 24 also require countries to follow a risk-based approach and consider the risks of legal persons in their countries, not only those posed by legal persons created in their countries, but also by foreign-created legal persons with sufficient links with their country. The changes also specify that access to information by competent authorities should be timely, and information should be adequate for identifying the beneficial owner, accurate - based on verification</w:t>
      </w:r>
      <w:r>
        <w:rPr>
          <w:rStyle w:val="FootnoteReference"/>
        </w:rPr>
        <w:footnoteReference w:id="11"/>
      </w:r>
      <w:r>
        <w:t>, and up-to-date. The changes also include stronger controls to prevent the misuse of bearer shares and nominee arrangements.</w:t>
      </w:r>
    </w:p>
    <w:p w14:paraId="52DA5525" w14:textId="77777777" w:rsidR="00EC6B4B" w:rsidRDefault="001305B9">
      <w:pPr>
        <w:pStyle w:val="Para"/>
      </w:pPr>
      <w:r>
        <w:t>Other international bodies are also taking concrete action to promote the transparency of</w:t>
      </w:r>
      <w:r>
        <w:rPr>
          <w:spacing w:val="1"/>
        </w:rPr>
        <w:t xml:space="preserve"> </w:t>
      </w:r>
      <w:r>
        <w:t>corporate</w:t>
      </w:r>
      <w:r>
        <w:rPr>
          <w:spacing w:val="1"/>
        </w:rPr>
        <w:t xml:space="preserve"> </w:t>
      </w:r>
      <w:r>
        <w:t>vehicles.</w:t>
      </w:r>
      <w:r>
        <w:rPr>
          <w:spacing w:val="1"/>
        </w:rPr>
        <w:t xml:space="preserve"> </w:t>
      </w:r>
      <w:r>
        <w:t>G20 Leaders made their commitments to effectively implement the FATF standards on beneficial ownership</w:t>
      </w:r>
      <w:r>
        <w:rPr>
          <w:rStyle w:val="FootnoteReference"/>
        </w:rPr>
        <w:footnoteReference w:id="12"/>
      </w:r>
      <w:r>
        <w:t>. G7 countries also committed to implementing and strengthening registries of company beneficial ownership information in their respective jurisdictions.</w:t>
      </w:r>
      <w:r>
        <w:rPr>
          <w:rStyle w:val="FootnoteReference"/>
        </w:rPr>
        <w:footnoteReference w:id="13"/>
      </w:r>
      <w:r>
        <w:rPr>
          <w:spacing w:val="1"/>
          <w:position w:val="5"/>
        </w:rPr>
        <w:t xml:space="preserve"> </w:t>
      </w:r>
      <w:r>
        <w:t>In addition, the OECD and the World Bank both developed resources in assisting countries to assess risks related to beneficial ownership transparency and implement beneficial ownership framework for meeting international standards.</w:t>
      </w:r>
      <w:r>
        <w:rPr>
          <w:rStyle w:val="FootnoteReference"/>
        </w:rPr>
        <w:footnoteReference w:id="14"/>
      </w:r>
      <w:r>
        <w:t xml:space="preserve"> Finally, IMF lending, including IMF emergency financing related to COVID-19 routinely includes measures or commitments related to transparency of beneficial ownership in relation to procurement contracts.</w:t>
      </w:r>
      <w:r>
        <w:rPr>
          <w:rStyle w:val="FootnoteReference"/>
        </w:rPr>
        <w:footnoteReference w:id="15"/>
      </w:r>
    </w:p>
    <w:p w14:paraId="1D015AD0" w14:textId="77777777" w:rsidR="00EC6B4B" w:rsidRDefault="001305B9">
      <w:pPr>
        <w:pStyle w:val="Para"/>
      </w:pPr>
      <w:r>
        <w:t>The purpose of the FATF standards on transparency and beneficial ownership is to prevent</w:t>
      </w:r>
      <w:r>
        <w:rPr>
          <w:spacing w:val="1"/>
        </w:rPr>
        <w:t xml:space="preserve"> </w:t>
      </w:r>
      <w:r>
        <w:t>the</w:t>
      </w:r>
      <w:r>
        <w:rPr>
          <w:spacing w:val="1"/>
        </w:rPr>
        <w:t xml:space="preserve"> </w:t>
      </w:r>
      <w:r>
        <w:t>misuse</w:t>
      </w:r>
      <w:r>
        <w:rPr>
          <w:spacing w:val="1"/>
        </w:rPr>
        <w:t xml:space="preserve"> </w:t>
      </w:r>
      <w:r>
        <w:t>of</w:t>
      </w:r>
      <w:r>
        <w:rPr>
          <w:spacing w:val="1"/>
        </w:rPr>
        <w:t xml:space="preserve"> </w:t>
      </w:r>
      <w:r>
        <w:t>corporate</w:t>
      </w:r>
      <w:r>
        <w:rPr>
          <w:spacing w:val="1"/>
        </w:rPr>
        <w:t xml:space="preserve"> </w:t>
      </w:r>
      <w:r>
        <w:t>vehicles</w:t>
      </w:r>
      <w:r>
        <w:rPr>
          <w:spacing w:val="1"/>
        </w:rPr>
        <w:t xml:space="preserve"> </w:t>
      </w:r>
      <w:r>
        <w:t>for</w:t>
      </w:r>
      <w:r>
        <w:rPr>
          <w:spacing w:val="1"/>
        </w:rPr>
        <w:t xml:space="preserve"> </w:t>
      </w:r>
      <w:r>
        <w:t>money</w:t>
      </w:r>
      <w:r>
        <w:rPr>
          <w:spacing w:val="1"/>
        </w:rPr>
        <w:t xml:space="preserve"> </w:t>
      </w:r>
      <w:r>
        <w:t>laundering</w:t>
      </w:r>
      <w:r>
        <w:rPr>
          <w:spacing w:val="1"/>
        </w:rPr>
        <w:t xml:space="preserve"> </w:t>
      </w:r>
      <w:r>
        <w:t>or</w:t>
      </w:r>
      <w:r>
        <w:rPr>
          <w:spacing w:val="1"/>
        </w:rPr>
        <w:t xml:space="preserve"> </w:t>
      </w:r>
      <w:r>
        <w:t>terrorist</w:t>
      </w:r>
      <w:r>
        <w:rPr>
          <w:spacing w:val="1"/>
        </w:rPr>
        <w:t xml:space="preserve"> </w:t>
      </w:r>
      <w:r>
        <w:t>financing.</w:t>
      </w:r>
      <w:r>
        <w:rPr>
          <w:spacing w:val="1"/>
        </w:rPr>
        <w:t xml:space="preserve"> </w:t>
      </w:r>
      <w:r>
        <w:t>However,</w:t>
      </w:r>
      <w:r>
        <w:rPr>
          <w:spacing w:val="1"/>
        </w:rPr>
        <w:t xml:space="preserve"> </w:t>
      </w:r>
      <w:r>
        <w:t>it</w:t>
      </w:r>
      <w:r>
        <w:rPr>
          <w:spacing w:val="1"/>
        </w:rPr>
        <w:t xml:space="preserve"> </w:t>
      </w:r>
      <w:r>
        <w:t>is</w:t>
      </w:r>
      <w:r>
        <w:rPr>
          <w:spacing w:val="1"/>
        </w:rPr>
        <w:t xml:space="preserve"> </w:t>
      </w:r>
      <w:r>
        <w:t>recognised that these FATF standards support the efforts to prevent and detect other designated</w:t>
      </w:r>
      <w:r>
        <w:rPr>
          <w:spacing w:val="1"/>
        </w:rPr>
        <w:t xml:space="preserve"> </w:t>
      </w:r>
      <w:r>
        <w:t>categories of offences such as tax crimes and corruption. In this respect, the measures that countries implement</w:t>
      </w:r>
      <w:r>
        <w:rPr>
          <w:spacing w:val="1"/>
        </w:rPr>
        <w:t xml:space="preserve"> </w:t>
      </w:r>
      <w:r>
        <w:t>to</w:t>
      </w:r>
      <w:r>
        <w:rPr>
          <w:spacing w:val="1"/>
        </w:rPr>
        <w:t xml:space="preserve"> </w:t>
      </w:r>
      <w:r>
        <w:t>enhance</w:t>
      </w:r>
      <w:r>
        <w:rPr>
          <w:spacing w:val="1"/>
        </w:rPr>
        <w:t xml:space="preserve"> </w:t>
      </w:r>
      <w:r>
        <w:t>transparency</w:t>
      </w:r>
      <w:r>
        <w:rPr>
          <w:spacing w:val="1"/>
        </w:rPr>
        <w:t xml:space="preserve"> </w:t>
      </w:r>
      <w:r>
        <w:t>in</w:t>
      </w:r>
      <w:r>
        <w:rPr>
          <w:spacing w:val="1"/>
        </w:rPr>
        <w:t xml:space="preserve"> </w:t>
      </w:r>
      <w:r>
        <w:t>line</w:t>
      </w:r>
      <w:r>
        <w:rPr>
          <w:spacing w:val="1"/>
        </w:rPr>
        <w:t xml:space="preserve"> </w:t>
      </w:r>
      <w:r>
        <w:t>with</w:t>
      </w:r>
      <w:r>
        <w:rPr>
          <w:spacing w:val="1"/>
        </w:rPr>
        <w:t xml:space="preserve"> </w:t>
      </w:r>
      <w:r>
        <w:t>the</w:t>
      </w:r>
      <w:r>
        <w:rPr>
          <w:spacing w:val="1"/>
        </w:rPr>
        <w:t xml:space="preserve"> </w:t>
      </w:r>
      <w:r>
        <w:t>FATF</w:t>
      </w:r>
      <w:r>
        <w:rPr>
          <w:spacing w:val="1"/>
        </w:rPr>
        <w:t xml:space="preserve"> </w:t>
      </w:r>
      <w:r>
        <w:t>Recommendations</w:t>
      </w:r>
      <w:r>
        <w:rPr>
          <w:spacing w:val="1"/>
        </w:rPr>
        <w:t xml:space="preserve"> </w:t>
      </w:r>
      <w:r>
        <w:t>may</w:t>
      </w:r>
      <w:r>
        <w:rPr>
          <w:spacing w:val="1"/>
        </w:rPr>
        <w:t xml:space="preserve"> </w:t>
      </w:r>
      <w:r>
        <w:t>provide</w:t>
      </w:r>
      <w:r>
        <w:rPr>
          <w:spacing w:val="48"/>
        </w:rPr>
        <w:t xml:space="preserve"> </w:t>
      </w:r>
      <w:r>
        <w:t>a</w:t>
      </w:r>
      <w:r>
        <w:rPr>
          <w:spacing w:val="1"/>
        </w:rPr>
        <w:t xml:space="preserve"> </w:t>
      </w:r>
      <w:r>
        <w:t>platform to more effectively address serious crimes such as corruption, as well as to meet obligations under other</w:t>
      </w:r>
      <w:r>
        <w:rPr>
          <w:spacing w:val="1"/>
        </w:rPr>
        <w:t xml:space="preserve"> </w:t>
      </w:r>
      <w:r>
        <w:t>international</w:t>
      </w:r>
      <w:r>
        <w:rPr>
          <w:spacing w:val="-1"/>
        </w:rPr>
        <w:t xml:space="preserve"> </w:t>
      </w:r>
      <w:r>
        <w:t>conventions.</w:t>
      </w:r>
      <w:r>
        <w:rPr>
          <w:rStyle w:val="FootnoteReference"/>
        </w:rPr>
        <w:footnoteReference w:id="16"/>
      </w:r>
    </w:p>
    <w:p w14:paraId="5805A664" w14:textId="77777777" w:rsidR="00EC6B4B" w:rsidRDefault="001305B9">
      <w:pPr>
        <w:pStyle w:val="Para"/>
        <w:rPr>
          <w:rFonts w:ascii="Cambria" w:hAnsi="Cambria"/>
        </w:rPr>
      </w:pPr>
      <w:r>
        <w:rPr>
          <w:spacing w:val="1"/>
        </w:rPr>
        <w:t xml:space="preserve">Beyond the </w:t>
      </w:r>
      <w:r>
        <w:t>Recommendations</w:t>
      </w:r>
      <w:r>
        <w:rPr>
          <w:spacing w:val="1"/>
        </w:rPr>
        <w:t xml:space="preserve">, in response to the challenges faced by countries in achieving beneficial ownership transparency of legal persons, </w:t>
      </w:r>
      <w:r>
        <w:t>the</w:t>
      </w:r>
      <w:r>
        <w:rPr>
          <w:spacing w:val="1"/>
        </w:rPr>
        <w:t xml:space="preserve"> </w:t>
      </w:r>
      <w:r>
        <w:t>FATF</w:t>
      </w:r>
      <w:r>
        <w:rPr>
          <w:spacing w:val="1"/>
        </w:rPr>
        <w:t xml:space="preserve"> </w:t>
      </w:r>
      <w:r>
        <w:t>earlier</w:t>
      </w:r>
      <w:r>
        <w:rPr>
          <w:spacing w:val="1"/>
        </w:rPr>
        <w:t xml:space="preserve"> </w:t>
      </w:r>
      <w:r>
        <w:t>developed</w:t>
      </w:r>
      <w:r>
        <w:rPr>
          <w:spacing w:val="1"/>
        </w:rPr>
        <w:t xml:space="preserve"> </w:t>
      </w:r>
      <w:r>
        <w:t>a</w:t>
      </w:r>
      <w:r>
        <w:rPr>
          <w:spacing w:val="1"/>
        </w:rPr>
        <w:t xml:space="preserve"> </w:t>
      </w:r>
      <w:r>
        <w:t>guidance</w:t>
      </w:r>
      <w:r>
        <w:rPr>
          <w:spacing w:val="1"/>
        </w:rPr>
        <w:t xml:space="preserve"> in 2014, as well as a best practice </w:t>
      </w:r>
      <w:r>
        <w:t>paper</w:t>
      </w:r>
      <w:r>
        <w:rPr>
          <w:rStyle w:val="FootnoteReference"/>
        </w:rPr>
        <w:footnoteReference w:id="17"/>
      </w:r>
      <w:r>
        <w:rPr>
          <w:spacing w:val="1"/>
        </w:rPr>
        <w:t xml:space="preserve"> </w:t>
      </w:r>
      <w:r>
        <w:t>to</w:t>
      </w:r>
      <w:r>
        <w:rPr>
          <w:spacing w:val="1"/>
        </w:rPr>
        <w:t xml:space="preserve"> </w:t>
      </w:r>
      <w:r>
        <w:t>assist</w:t>
      </w:r>
      <w:r>
        <w:rPr>
          <w:spacing w:val="1"/>
        </w:rPr>
        <w:t xml:space="preserve"> </w:t>
      </w:r>
      <w:r>
        <w:t>countries in their implementation of Recommendation 24, and also Recommendation 1 as</w:t>
      </w:r>
      <w:r>
        <w:rPr>
          <w:spacing w:val="1"/>
        </w:rPr>
        <w:t xml:space="preserve"> </w:t>
      </w:r>
      <w:r>
        <w:t xml:space="preserve">it relates to understanding the ML/TF risks of legal persons and legal arrangements. This is an updated version of the guidance in respect of legal persons, following the adoption of amendments to Recommendation 24 and its Interpretive Note in March 2022; FATF is addressing the transparency of legal arrangements separately. </w:t>
      </w:r>
    </w:p>
    <w:p w14:paraId="6BCD3972" w14:textId="77777777" w:rsidR="00EC6B4B" w:rsidRDefault="001305B9">
      <w:pPr>
        <w:pStyle w:val="Heading2"/>
      </w:pPr>
      <w:bookmarkStart w:id="149" w:name="_Toc117503063"/>
      <w:r>
        <w:t>Target Audience and Purpose</w:t>
      </w:r>
      <w:bookmarkEnd w:id="149"/>
    </w:p>
    <w:p w14:paraId="3B21B291" w14:textId="77777777" w:rsidR="00EC6B4B" w:rsidRDefault="001305B9">
      <w:pPr>
        <w:pStyle w:val="Para"/>
      </w:pPr>
      <w:r>
        <w:t>The audience of this guidance is primarily policy makers and practitioners in national authorities, as well as private sector stakeholders, such as financial institutions, DNFBPs and companies</w:t>
      </w:r>
      <w:r>
        <w:footnoteReference w:id="18"/>
      </w:r>
      <w:r>
        <w:t xml:space="preserve">, which are required to comply with national AML/CFT requirements based on the FATF standards. The purpose of this guidance is to assist policy makers and practitioners to identify, design and implement appropriate measures to prevent the misuse of legal persons in line with the FATF standards. As for the private sector stakeholders, the guidance explains the connection between specific transparency measures and CDD measures, and it may be useful to companies, financial institutions and DNFBPs in their implementation of AML/CFT preventive measures. </w:t>
      </w:r>
    </w:p>
    <w:p w14:paraId="16CC2ABD" w14:textId="77777777" w:rsidR="00EC6B4B" w:rsidRDefault="001305B9">
      <w:pPr>
        <w:pStyle w:val="Para"/>
      </w:pPr>
      <w:r>
        <w:t>The updated guidance focuses primarily on Recommendation 24, i.e. beneficial ownership transparency of legal persons. As regards legal arrangements as covered under Recommendation 25 and currently undergoing review</w:t>
      </w:r>
      <w:r>
        <w:rPr>
          <w:rStyle w:val="FootnoteReference"/>
        </w:rPr>
        <w:footnoteReference w:id="19"/>
      </w:r>
      <w:r>
        <w:t xml:space="preserve">, the 2014 guidance should be referred to until the completion of Recommendation 25 review and the subsequent update of guidance. </w:t>
      </w:r>
    </w:p>
    <w:p w14:paraId="319041C5" w14:textId="77777777" w:rsidR="00EC6B4B" w:rsidRDefault="001305B9">
      <w:pPr>
        <w:pStyle w:val="Para"/>
      </w:pPr>
      <w:r>
        <w:t>This guidance is non-binding and does not override the purview of national authorities. It is</w:t>
      </w:r>
      <w:r>
        <w:rPr>
          <w:spacing w:val="1"/>
        </w:rPr>
        <w:t xml:space="preserve"> </w:t>
      </w:r>
      <w:r>
        <w:t>intended to complement existing FATF guidance and other ongoing work</w:t>
      </w:r>
      <w:r>
        <w:rPr>
          <w:spacing w:val="1"/>
          <w:position w:val="5"/>
        </w:rPr>
        <w:t xml:space="preserve"> </w:t>
      </w:r>
      <w:r>
        <w:t>by building upon the</w:t>
      </w:r>
      <w:r>
        <w:rPr>
          <w:spacing w:val="1"/>
        </w:rPr>
        <w:t xml:space="preserve"> </w:t>
      </w:r>
      <w:r>
        <w:t>available research, including relevant FATF typologies reports, and the experiences of countries. It</w:t>
      </w:r>
      <w:r>
        <w:rPr>
          <w:spacing w:val="1"/>
        </w:rPr>
        <w:t xml:space="preserve"> </w:t>
      </w:r>
      <w:r>
        <w:t>also takes into account work being undertaken by other international bodies, which are focusing on</w:t>
      </w:r>
      <w:r>
        <w:rPr>
          <w:spacing w:val="1"/>
        </w:rPr>
        <w:t xml:space="preserve"> </w:t>
      </w:r>
      <w:r>
        <w:t>ensuring</w:t>
      </w:r>
      <w:r>
        <w:rPr>
          <w:spacing w:val="-2"/>
        </w:rPr>
        <w:t xml:space="preserve"> </w:t>
      </w:r>
      <w:r>
        <w:t>the transparency</w:t>
      </w:r>
      <w:r>
        <w:rPr>
          <w:spacing w:val="-1"/>
        </w:rPr>
        <w:t xml:space="preserve"> </w:t>
      </w:r>
      <w:r>
        <w:t>of corporate vehicles.</w:t>
      </w:r>
    </w:p>
    <w:p w14:paraId="0637E362" w14:textId="77777777" w:rsidR="00EC6B4B" w:rsidRDefault="001305B9">
      <w:pPr>
        <w:pStyle w:val="Para"/>
        <w:rPr>
          <w:rStyle w:val="eop"/>
        </w:rPr>
      </w:pPr>
      <w:r>
        <w:t>In addition, the following guidance documents published by the FATF should continue to apply. Countries, FIs and DNFBPs should also refer to these guidance documents when considering measures to comply with the requirements under Recommendation 24</w:t>
      </w:r>
      <w:r>
        <w:rPr>
          <w:rStyle w:val="eop"/>
          <w:rFonts w:ascii="Cambria" w:hAnsi="Cambria"/>
          <w:bCs/>
        </w:rPr>
        <w:t>.</w:t>
      </w:r>
    </w:p>
    <w:p w14:paraId="291ADEA6" w14:textId="77777777" w:rsidR="00EC6B4B" w:rsidRDefault="00EC6B4B">
      <w:pPr>
        <w:pStyle w:val="Para"/>
        <w:numPr>
          <w:ilvl w:val="0"/>
          <w:numId w:val="0"/>
        </w:numPr>
        <w:ind w:left="680"/>
        <w:rPr>
          <w:rStyle w:val="eop"/>
          <w:rFonts w:ascii="Cambria" w:hAnsi="Cambria"/>
          <w:bCs/>
        </w:rPr>
      </w:pPr>
    </w:p>
    <w:tbl>
      <w:tblPr>
        <w:tblStyle w:val="TableGrid"/>
        <w:tblW w:w="9309" w:type="dxa"/>
        <w:jc w:val="center"/>
        <w:tblBorders>
          <w:top w:val="single" w:sz="6" w:space="0" w:color="4E81BD" w:themeColor="accent1"/>
          <w:left w:val="single" w:sz="6" w:space="0" w:color="4E81BD" w:themeColor="accent1"/>
          <w:bottom w:val="single" w:sz="6" w:space="0" w:color="4E81BD" w:themeColor="accent1"/>
          <w:right w:val="single" w:sz="6" w:space="0" w:color="4E81BD" w:themeColor="accent1"/>
          <w:insideH w:val="single" w:sz="6" w:space="0" w:color="4E81BD" w:themeColor="accent1"/>
          <w:insideV w:val="single" w:sz="6"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EC6B4B" w14:paraId="6C89DCBC" w14:textId="77777777">
        <w:trPr>
          <w:jc w:val="center"/>
        </w:trPr>
        <w:tc>
          <w:tcPr>
            <w:tcW w:w="9309" w:type="dxa"/>
            <w:shd w:val="clear" w:color="auto" w:fill="EEECE1" w:themeFill="accent3"/>
          </w:tcPr>
          <w:p w14:paraId="06DC5B0D" w14:textId="77777777" w:rsidR="00EC6B4B" w:rsidRDefault="001305B9">
            <w:pPr>
              <w:pStyle w:val="Caption"/>
              <w:keepNext w:val="0"/>
              <w:spacing w:line="320" w:lineRule="exact"/>
              <w:rPr>
                <w:b w:val="0"/>
              </w:rPr>
            </w:pPr>
            <w:r>
              <w:t>Box </w:t>
            </w:r>
            <w:r>
              <w:rPr>
                <w:b w:val="0"/>
                <w:noProof/>
              </w:rPr>
              <w:fldChar w:fldCharType="begin"/>
            </w:r>
            <w:r>
              <w:rPr>
                <w:noProof/>
              </w:rPr>
              <w:instrText xml:space="preserve"> SEQ Box \* ARABIC </w:instrText>
            </w:r>
            <w:r>
              <w:rPr>
                <w:b w:val="0"/>
                <w:noProof/>
              </w:rPr>
              <w:fldChar w:fldCharType="separate"/>
            </w:r>
            <w:r w:rsidR="00CF7A67">
              <w:rPr>
                <w:noProof/>
              </w:rPr>
              <w:t>1</w:t>
            </w:r>
            <w:r>
              <w:rPr>
                <w:b w:val="0"/>
                <w:noProof/>
              </w:rPr>
              <w:fldChar w:fldCharType="end"/>
            </w:r>
            <w:r>
              <w:t>.FATF risk-based approach sectoral guidance</w:t>
            </w:r>
          </w:p>
          <w:p w14:paraId="4E9DC5E8" w14:textId="77777777" w:rsidR="00EC6B4B" w:rsidRDefault="001305B9">
            <w:pPr>
              <w:pStyle w:val="Para0"/>
            </w:pPr>
            <w:r>
              <w:t>The FATF has published guidance on the effective application of risk-based approach and supervision at a sectoral level, including on:</w:t>
            </w:r>
          </w:p>
          <w:p w14:paraId="15BE3A5D" w14:textId="77777777" w:rsidR="00EC6B4B" w:rsidRDefault="005D4834">
            <w:pPr>
              <w:pStyle w:val="Para0"/>
            </w:pPr>
            <w:hyperlink r:id="rId10" w:history="1">
              <w:r w:rsidR="004E1359">
                <w:rPr>
                  <w:rStyle w:val="Hyperlink"/>
                </w:rPr>
                <w:t>Banking sector</w:t>
              </w:r>
            </w:hyperlink>
          </w:p>
          <w:p w14:paraId="3DD1B689" w14:textId="77777777" w:rsidR="00EC6B4B" w:rsidRDefault="005D4834">
            <w:pPr>
              <w:pStyle w:val="Para0"/>
            </w:pPr>
            <w:hyperlink r:id="rId11" w:history="1">
              <w:r w:rsidR="004E1359">
                <w:rPr>
                  <w:rStyle w:val="Hyperlink"/>
                </w:rPr>
                <w:t>Life Insurance</w:t>
              </w:r>
            </w:hyperlink>
            <w:r w:rsidR="001305B9">
              <w:t xml:space="preserve"> </w:t>
            </w:r>
          </w:p>
          <w:p w14:paraId="31547AD0" w14:textId="77777777" w:rsidR="00EC6B4B" w:rsidRDefault="005D4834">
            <w:pPr>
              <w:pStyle w:val="Para0"/>
            </w:pPr>
            <w:hyperlink r:id="rId12" w:history="1">
              <w:r w:rsidR="004E1359">
                <w:rPr>
                  <w:rStyle w:val="Hyperlink"/>
                </w:rPr>
                <w:t>Securities sector</w:t>
              </w:r>
            </w:hyperlink>
          </w:p>
          <w:p w14:paraId="10F85DA0" w14:textId="77777777" w:rsidR="00EC6B4B" w:rsidRDefault="005D4834">
            <w:pPr>
              <w:pStyle w:val="Para0"/>
            </w:pPr>
            <w:hyperlink r:id="rId13" w:history="1">
              <w:r w:rsidR="004E1359">
                <w:rPr>
                  <w:rStyle w:val="Hyperlink"/>
                </w:rPr>
                <w:t>Money or value transfer services</w:t>
              </w:r>
            </w:hyperlink>
            <w:r w:rsidR="001305B9">
              <w:t xml:space="preserve"> </w:t>
            </w:r>
          </w:p>
          <w:p w14:paraId="232C715C" w14:textId="77777777" w:rsidR="00EC6B4B" w:rsidRDefault="005D4834">
            <w:pPr>
              <w:pStyle w:val="Para0"/>
            </w:pPr>
            <w:hyperlink r:id="rId14" w:history="1">
              <w:r w:rsidR="004E1359">
                <w:rPr>
                  <w:rStyle w:val="Hyperlink"/>
                </w:rPr>
                <w:t>Virtual Assets and Virtual Asset Service Providers (and VA Red flag indicators)</w:t>
              </w:r>
            </w:hyperlink>
          </w:p>
          <w:p w14:paraId="7B058CAB" w14:textId="77777777" w:rsidR="00EC6B4B" w:rsidRDefault="005D4834">
            <w:pPr>
              <w:pStyle w:val="Para0"/>
            </w:pPr>
            <w:hyperlink r:id="rId15" w:history="1">
              <w:r w:rsidR="004E1359">
                <w:rPr>
                  <w:rStyle w:val="Hyperlink"/>
                </w:rPr>
                <w:t>Legal Professionals</w:t>
              </w:r>
            </w:hyperlink>
            <w:r w:rsidR="001305B9">
              <w:t xml:space="preserve"> </w:t>
            </w:r>
          </w:p>
          <w:p w14:paraId="1EF26972" w14:textId="77777777" w:rsidR="00EC6B4B" w:rsidRDefault="005D4834">
            <w:pPr>
              <w:pStyle w:val="Para0"/>
            </w:pPr>
            <w:hyperlink r:id="rId16" w:history="1">
              <w:r w:rsidR="004E1359">
                <w:rPr>
                  <w:rStyle w:val="Hyperlink"/>
                </w:rPr>
                <w:t>Accounting profession</w:t>
              </w:r>
            </w:hyperlink>
          </w:p>
          <w:p w14:paraId="54C3EE7D" w14:textId="77777777" w:rsidR="00EC6B4B" w:rsidRDefault="005D4834">
            <w:pPr>
              <w:pStyle w:val="Para0"/>
            </w:pPr>
            <w:hyperlink r:id="rId17" w:history="1">
              <w:r w:rsidR="004E1359">
                <w:rPr>
                  <w:rStyle w:val="Hyperlink"/>
                </w:rPr>
                <w:t>Trust and company services providers</w:t>
              </w:r>
            </w:hyperlink>
          </w:p>
          <w:p w14:paraId="7BA11476" w14:textId="77777777" w:rsidR="00EC6B4B" w:rsidRDefault="005D4834">
            <w:pPr>
              <w:pStyle w:val="Para0"/>
            </w:pPr>
            <w:hyperlink r:id="rId18" w:history="1">
              <w:r w:rsidR="004E1359">
                <w:rPr>
                  <w:rStyle w:val="Hyperlink"/>
                </w:rPr>
                <w:t>Prepaid cards, mobile payments and internet-based payment services</w:t>
              </w:r>
            </w:hyperlink>
          </w:p>
          <w:p w14:paraId="6D9AF803" w14:textId="77777777" w:rsidR="00EC6B4B" w:rsidRDefault="005D4834">
            <w:pPr>
              <w:pStyle w:val="Para0"/>
            </w:pPr>
            <w:hyperlink r:id="rId19" w:history="1">
              <w:r w:rsidR="004E1359">
                <w:rPr>
                  <w:rStyle w:val="Hyperlink"/>
                </w:rPr>
                <w:t>Real estate agents</w:t>
              </w:r>
            </w:hyperlink>
          </w:p>
          <w:p w14:paraId="6D2982BF" w14:textId="77777777" w:rsidR="00EC6B4B" w:rsidRDefault="005D4834">
            <w:pPr>
              <w:pStyle w:val="Para0"/>
            </w:pPr>
            <w:hyperlink r:id="rId20" w:history="1">
              <w:r w:rsidR="004E1359">
                <w:rPr>
                  <w:rStyle w:val="Hyperlink"/>
                </w:rPr>
                <w:t>Risk based supervision</w:t>
              </w:r>
            </w:hyperlink>
            <w:r w:rsidR="001305B9">
              <w:t xml:space="preserve"> </w:t>
            </w:r>
          </w:p>
        </w:tc>
      </w:tr>
    </w:tbl>
    <w:p w14:paraId="7FE6022B" w14:textId="77777777" w:rsidR="00EC6B4B" w:rsidRDefault="00EC6B4B">
      <w:pPr>
        <w:pStyle w:val="Para"/>
        <w:numPr>
          <w:ilvl w:val="0"/>
          <w:numId w:val="0"/>
        </w:numPr>
      </w:pPr>
    </w:p>
    <w:p w14:paraId="35EE1EC9" w14:textId="77777777" w:rsidR="00EC6B4B" w:rsidRDefault="001305B9">
      <w:pPr>
        <w:widowControl/>
        <w:spacing w:after="200" w:line="276" w:lineRule="auto"/>
        <w:jc w:val="left"/>
      </w:pPr>
      <w:r>
        <w:br w:type="page"/>
      </w:r>
    </w:p>
    <w:p w14:paraId="0B1FE5E8" w14:textId="77777777" w:rsidR="00EC6B4B" w:rsidRDefault="001305B9">
      <w:pPr>
        <w:pStyle w:val="Heading1"/>
      </w:pPr>
      <w:bookmarkStart w:id="150" w:name="_Toc114827779"/>
      <w:bookmarkStart w:id="151" w:name="_Toc114827960"/>
      <w:bookmarkStart w:id="152" w:name="_Toc114828049"/>
      <w:bookmarkStart w:id="153" w:name="_Toc114828138"/>
      <w:bookmarkStart w:id="154" w:name="_Toc114830593"/>
      <w:bookmarkStart w:id="155" w:name="_Toc114830977"/>
      <w:bookmarkStart w:id="156" w:name="_Toc114835226"/>
      <w:bookmarkStart w:id="157" w:name="_Toc114827780"/>
      <w:bookmarkStart w:id="158" w:name="_Toc114827961"/>
      <w:bookmarkStart w:id="159" w:name="_Toc114828050"/>
      <w:bookmarkStart w:id="160" w:name="_Toc114828139"/>
      <w:bookmarkStart w:id="161" w:name="_Toc114830594"/>
      <w:bookmarkStart w:id="162" w:name="_Toc114830978"/>
      <w:bookmarkStart w:id="163" w:name="_Toc114835227"/>
      <w:bookmarkStart w:id="164" w:name="_Toc114827781"/>
      <w:bookmarkStart w:id="165" w:name="_Toc114827962"/>
      <w:bookmarkStart w:id="166" w:name="_Toc114828051"/>
      <w:bookmarkStart w:id="167" w:name="_Toc114828140"/>
      <w:bookmarkStart w:id="168" w:name="_Toc114830595"/>
      <w:bookmarkStart w:id="169" w:name="_Toc114830979"/>
      <w:bookmarkStart w:id="170" w:name="_Toc114835228"/>
      <w:bookmarkStart w:id="171" w:name="_Toc114827782"/>
      <w:bookmarkStart w:id="172" w:name="_Toc114827963"/>
      <w:bookmarkStart w:id="173" w:name="_Toc114828052"/>
      <w:bookmarkStart w:id="174" w:name="_Toc114828141"/>
      <w:bookmarkStart w:id="175" w:name="_Toc114830596"/>
      <w:bookmarkStart w:id="176" w:name="_Toc114830980"/>
      <w:bookmarkStart w:id="177" w:name="_Toc114835229"/>
      <w:bookmarkStart w:id="178" w:name="_Toc114827783"/>
      <w:bookmarkStart w:id="179" w:name="_Toc114827964"/>
      <w:bookmarkStart w:id="180" w:name="_Toc114828053"/>
      <w:bookmarkStart w:id="181" w:name="_Toc114828142"/>
      <w:bookmarkStart w:id="182" w:name="_Toc114830597"/>
      <w:bookmarkStart w:id="183" w:name="_Toc114830981"/>
      <w:bookmarkStart w:id="184" w:name="_Toc114835230"/>
      <w:bookmarkStart w:id="185" w:name="_Toc114827784"/>
      <w:bookmarkStart w:id="186" w:name="_Toc114827965"/>
      <w:bookmarkStart w:id="187" w:name="_Toc114828054"/>
      <w:bookmarkStart w:id="188" w:name="_Toc114828143"/>
      <w:bookmarkStart w:id="189" w:name="_Toc114830598"/>
      <w:bookmarkStart w:id="190" w:name="_Toc114830982"/>
      <w:bookmarkStart w:id="191" w:name="_Toc114835231"/>
      <w:bookmarkStart w:id="192" w:name="_Toc114827785"/>
      <w:bookmarkStart w:id="193" w:name="_Toc114827966"/>
      <w:bookmarkStart w:id="194" w:name="_Toc114828055"/>
      <w:bookmarkStart w:id="195" w:name="_Toc114828144"/>
      <w:bookmarkStart w:id="196" w:name="_Toc114830599"/>
      <w:bookmarkStart w:id="197" w:name="_Toc114830983"/>
      <w:bookmarkStart w:id="198" w:name="_Toc114835232"/>
      <w:bookmarkStart w:id="199" w:name="II._THE_MISUSE_OF_LEGAL_PERSONS_AND_ARRA"/>
      <w:bookmarkStart w:id="200" w:name="_bookmark2"/>
      <w:bookmarkStart w:id="201" w:name="_Toc117503064"/>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t>Understanding and assessing the risks associated with legal persons</w:t>
      </w:r>
      <w:bookmarkEnd w:id="201"/>
    </w:p>
    <w:p w14:paraId="61C3A36F" w14:textId="77777777" w:rsidR="00EC6B4B" w:rsidRDefault="001305B9">
      <w:pPr>
        <w:pStyle w:val="Heading2"/>
      </w:pPr>
      <w:bookmarkStart w:id="202" w:name="_Toc117503065"/>
      <w:r>
        <w:t>Domestic legal persons</w:t>
      </w:r>
      <w:bookmarkEnd w:id="202"/>
    </w:p>
    <w:p w14:paraId="2961D555" w14:textId="77777777" w:rsidR="00EC6B4B" w:rsidRDefault="001305B9">
      <w:pPr>
        <w:pStyle w:val="Para"/>
      </w:pPr>
      <w:r>
        <w:t>As a starting point, countries must understand the legal persons that can be incorporated under the laws of their jurisdiction and the associated ML/TF risks. Specifically, countries should have mechanisms to:</w:t>
      </w:r>
    </w:p>
    <w:p w14:paraId="2941E8F5" w14:textId="77777777" w:rsidR="00EC6B4B" w:rsidRDefault="001305B9">
      <w:pPr>
        <w:pStyle w:val="ListParagraph"/>
        <w:numPr>
          <w:ilvl w:val="0"/>
          <w:numId w:val="27"/>
        </w:numPr>
        <w:pBdr>
          <w:top w:val="nil"/>
          <w:left w:val="nil"/>
          <w:bottom w:val="nil"/>
          <w:right w:val="nil"/>
          <w:between w:val="nil"/>
          <w:bar w:val="nil"/>
        </w:pBdr>
        <w:spacing w:before="120" w:after="120"/>
        <w:ind w:right="221"/>
        <w:contextualSpacing w:val="0"/>
      </w:pPr>
      <w:r>
        <w:t>identify and describe the different types, forms and basic features of legal persons in</w:t>
      </w:r>
      <w:r>
        <w:rPr>
          <w:spacing w:val="-1"/>
        </w:rPr>
        <w:t xml:space="preserve"> </w:t>
      </w:r>
      <w:r>
        <w:t>the country;</w:t>
      </w:r>
    </w:p>
    <w:p w14:paraId="6092D8FE" w14:textId="77777777" w:rsidR="00EC6B4B" w:rsidRDefault="001305B9">
      <w:pPr>
        <w:pStyle w:val="ListParagraph"/>
        <w:numPr>
          <w:ilvl w:val="0"/>
          <w:numId w:val="27"/>
        </w:numPr>
        <w:pBdr>
          <w:top w:val="nil"/>
          <w:left w:val="nil"/>
          <w:bottom w:val="nil"/>
          <w:right w:val="nil"/>
          <w:between w:val="nil"/>
          <w:bar w:val="nil"/>
        </w:pBdr>
        <w:spacing w:before="120" w:after="120"/>
        <w:ind w:right="220"/>
        <w:contextualSpacing w:val="0"/>
      </w:pPr>
      <w:r>
        <w:t>identify</w:t>
      </w:r>
      <w:r>
        <w:rPr>
          <w:spacing w:val="-1"/>
        </w:rPr>
        <w:t xml:space="preserve"> </w:t>
      </w:r>
      <w:r>
        <w:t>and</w:t>
      </w:r>
      <w:r>
        <w:rPr>
          <w:spacing w:val="-1"/>
        </w:rPr>
        <w:t xml:space="preserve"> </w:t>
      </w:r>
      <w:r>
        <w:t>describe</w:t>
      </w:r>
      <w:r>
        <w:rPr>
          <w:spacing w:val="-1"/>
        </w:rPr>
        <w:t xml:space="preserve"> </w:t>
      </w:r>
      <w:r>
        <w:t>the</w:t>
      </w:r>
      <w:r>
        <w:rPr>
          <w:spacing w:val="-1"/>
        </w:rPr>
        <w:t xml:space="preserve"> </w:t>
      </w:r>
      <w:r>
        <w:t>processes</w:t>
      </w:r>
      <w:r>
        <w:rPr>
          <w:spacing w:val="-1"/>
        </w:rPr>
        <w:t xml:space="preserve"> </w:t>
      </w:r>
      <w:r>
        <w:t>for:</w:t>
      </w:r>
      <w:r>
        <w:rPr>
          <w:spacing w:val="-1"/>
        </w:rPr>
        <w:t xml:space="preserve"> </w:t>
      </w:r>
      <w:r>
        <w:t>(i)</w:t>
      </w:r>
      <w:r>
        <w:rPr>
          <w:spacing w:val="-1"/>
        </w:rPr>
        <w:t xml:space="preserve"> </w:t>
      </w:r>
      <w:r>
        <w:t>creating</w:t>
      </w:r>
      <w:r>
        <w:rPr>
          <w:spacing w:val="-1"/>
        </w:rPr>
        <w:t xml:space="preserve"> </w:t>
      </w:r>
      <w:r>
        <w:t>those</w:t>
      </w:r>
      <w:r>
        <w:rPr>
          <w:spacing w:val="-1"/>
        </w:rPr>
        <w:t xml:space="preserve"> </w:t>
      </w:r>
      <w:r>
        <w:t>legal</w:t>
      </w:r>
      <w:r>
        <w:rPr>
          <w:spacing w:val="-1"/>
        </w:rPr>
        <w:t xml:space="preserve"> </w:t>
      </w:r>
      <w:r>
        <w:t>persons;</w:t>
      </w:r>
      <w:r>
        <w:rPr>
          <w:spacing w:val="-1"/>
        </w:rPr>
        <w:t xml:space="preserve"> </w:t>
      </w:r>
      <w:r>
        <w:t>and</w:t>
      </w:r>
      <w:r>
        <w:rPr>
          <w:spacing w:val="-1"/>
        </w:rPr>
        <w:t xml:space="preserve"> </w:t>
      </w:r>
      <w:r>
        <w:t>(ii)</w:t>
      </w:r>
      <w:r>
        <w:rPr>
          <w:spacing w:val="-1"/>
        </w:rPr>
        <w:t xml:space="preserve"> </w:t>
      </w:r>
      <w:r>
        <w:t>obtaining and recording basic and beneficial ownership information on those legal</w:t>
      </w:r>
      <w:r>
        <w:rPr>
          <w:spacing w:val="-1"/>
        </w:rPr>
        <w:t xml:space="preserve"> </w:t>
      </w:r>
      <w:r>
        <w:t>persons;</w:t>
      </w:r>
    </w:p>
    <w:p w14:paraId="7C9B67E1" w14:textId="77777777" w:rsidR="00EC6B4B" w:rsidRDefault="001305B9">
      <w:pPr>
        <w:pStyle w:val="ListParagraph"/>
        <w:numPr>
          <w:ilvl w:val="0"/>
          <w:numId w:val="27"/>
        </w:numPr>
        <w:pBdr>
          <w:top w:val="nil"/>
          <w:left w:val="nil"/>
          <w:bottom w:val="nil"/>
          <w:right w:val="nil"/>
          <w:between w:val="nil"/>
          <w:bar w:val="nil"/>
        </w:pBdr>
        <w:spacing w:before="120" w:after="120"/>
        <w:ind w:right="220"/>
        <w:contextualSpacing w:val="0"/>
      </w:pPr>
      <w:r>
        <w:t>make the above information publicly available</w:t>
      </w:r>
      <w:r>
        <w:rPr>
          <w:rStyle w:val="FootnoteReference"/>
        </w:rPr>
        <w:footnoteReference w:id="20"/>
      </w:r>
      <w:r>
        <w:t>, and</w:t>
      </w:r>
    </w:p>
    <w:p w14:paraId="70ED1A3F" w14:textId="77777777" w:rsidR="00EC6B4B" w:rsidRDefault="001305B9">
      <w:pPr>
        <w:pStyle w:val="ListParagraph"/>
        <w:numPr>
          <w:ilvl w:val="0"/>
          <w:numId w:val="27"/>
        </w:numPr>
        <w:pBdr>
          <w:top w:val="nil"/>
          <w:left w:val="nil"/>
          <w:bottom w:val="nil"/>
          <w:right w:val="nil"/>
          <w:between w:val="nil"/>
          <w:bar w:val="nil"/>
        </w:pBdr>
        <w:spacing w:before="120" w:after="120"/>
        <w:ind w:right="220"/>
        <w:contextualSpacing w:val="0"/>
      </w:pPr>
      <w:r>
        <w:t>assess</w:t>
      </w:r>
      <w:r>
        <w:rPr>
          <w:spacing w:val="-1"/>
        </w:rPr>
        <w:t xml:space="preserve"> </w:t>
      </w:r>
      <w:r>
        <w:t>the</w:t>
      </w:r>
      <w:r>
        <w:rPr>
          <w:spacing w:val="-5"/>
        </w:rPr>
        <w:t xml:space="preserve"> </w:t>
      </w:r>
      <w:r>
        <w:t>ML/TF</w:t>
      </w:r>
      <w:r>
        <w:rPr>
          <w:spacing w:val="-3"/>
        </w:rPr>
        <w:t xml:space="preserve"> </w:t>
      </w:r>
      <w:r>
        <w:t>risks</w:t>
      </w:r>
      <w:r>
        <w:rPr>
          <w:spacing w:val="-3"/>
        </w:rPr>
        <w:t xml:space="preserve"> </w:t>
      </w:r>
      <w:r>
        <w:t>associated</w:t>
      </w:r>
      <w:r>
        <w:rPr>
          <w:spacing w:val="-3"/>
        </w:rPr>
        <w:t xml:space="preserve"> </w:t>
      </w:r>
      <w:r>
        <w:t>with</w:t>
      </w:r>
      <w:r>
        <w:rPr>
          <w:spacing w:val="-3"/>
        </w:rPr>
        <w:t xml:space="preserve"> </w:t>
      </w:r>
      <w:r>
        <w:t>the</w:t>
      </w:r>
      <w:r>
        <w:rPr>
          <w:spacing w:val="-1"/>
        </w:rPr>
        <w:t xml:space="preserve"> </w:t>
      </w:r>
      <w:r>
        <w:t>different</w:t>
      </w:r>
      <w:r>
        <w:rPr>
          <w:spacing w:val="-3"/>
        </w:rPr>
        <w:t xml:space="preserve"> </w:t>
      </w:r>
      <w:r>
        <w:t>types</w:t>
      </w:r>
      <w:r>
        <w:rPr>
          <w:spacing w:val="-1"/>
        </w:rPr>
        <w:t xml:space="preserve"> </w:t>
      </w:r>
      <w:r>
        <w:t>of</w:t>
      </w:r>
      <w:r>
        <w:rPr>
          <w:spacing w:val="-1"/>
        </w:rPr>
        <w:t xml:space="preserve"> </w:t>
      </w:r>
      <w:r>
        <w:t>legal</w:t>
      </w:r>
      <w:r>
        <w:rPr>
          <w:spacing w:val="-1"/>
        </w:rPr>
        <w:t xml:space="preserve"> </w:t>
      </w:r>
      <w:r>
        <w:t xml:space="preserve">persons, and to manage and mitigate risks that are so identified. </w:t>
      </w:r>
    </w:p>
    <w:p w14:paraId="5314D84C" w14:textId="77777777" w:rsidR="00EC6B4B" w:rsidRDefault="001305B9">
      <w:pPr>
        <w:pStyle w:val="Heading2"/>
      </w:pPr>
      <w:bookmarkStart w:id="203" w:name="_Toc117503066"/>
      <w:r>
        <w:t>Foreign legal persons</w:t>
      </w:r>
      <w:bookmarkEnd w:id="203"/>
    </w:p>
    <w:p w14:paraId="61BACDB9" w14:textId="77777777" w:rsidR="00EC6B4B" w:rsidRDefault="001305B9">
      <w:pPr>
        <w:pStyle w:val="Para"/>
      </w:pPr>
      <w:r>
        <w:t xml:space="preserve">Moreover, countries should identify and assess the ML/TF risks to which they are exposed in relation to foreign legal persons, which have sufficient links to the country, and take appropriate steps to manage and mitigate the risks they identify. Countries may determine what constitutes a sufficient link for a legal person not created in the country </w:t>
      </w:r>
      <w:bookmarkStart w:id="204" w:name="_Hlk114840311"/>
      <w:r>
        <w:t>on the basis of risk</w:t>
      </w:r>
      <w:bookmarkEnd w:id="204"/>
      <w:r>
        <w:t>, but indicatively such a sufficient link could, for instance, be said to exist when the legal person</w:t>
      </w:r>
      <w:r>
        <w:rPr>
          <w:rStyle w:val="FootnoteReference"/>
        </w:rPr>
        <w:footnoteReference w:id="21"/>
      </w:r>
      <w:r>
        <w:t xml:space="preserve">: </w:t>
      </w:r>
    </w:p>
    <w:p w14:paraId="5673248C" w14:textId="77777777" w:rsidR="00EC6B4B" w:rsidRDefault="001305B9">
      <w:pPr>
        <w:pStyle w:val="ListParagraph"/>
        <w:numPr>
          <w:ilvl w:val="0"/>
          <w:numId w:val="28"/>
        </w:numPr>
        <w:pBdr>
          <w:top w:val="nil"/>
          <w:left w:val="nil"/>
          <w:bottom w:val="nil"/>
          <w:right w:val="nil"/>
          <w:between w:val="nil"/>
          <w:bar w:val="nil"/>
        </w:pBdr>
        <w:spacing w:before="120" w:after="120"/>
        <w:ind w:right="221"/>
        <w:contextualSpacing w:val="0"/>
      </w:pPr>
      <w:r>
        <w:t>Has a permanent establishment or branch or agency in the country;</w:t>
      </w:r>
    </w:p>
    <w:p w14:paraId="1A4DEFBF" w14:textId="77777777" w:rsidR="00EC6B4B" w:rsidRDefault="001305B9">
      <w:pPr>
        <w:pStyle w:val="ListParagraph"/>
        <w:numPr>
          <w:ilvl w:val="0"/>
          <w:numId w:val="28"/>
        </w:numPr>
        <w:pBdr>
          <w:top w:val="nil"/>
          <w:left w:val="nil"/>
          <w:bottom w:val="nil"/>
          <w:right w:val="nil"/>
          <w:between w:val="nil"/>
          <w:bar w:val="nil"/>
        </w:pBdr>
        <w:spacing w:before="120" w:after="120"/>
        <w:ind w:right="221"/>
        <w:contextualSpacing w:val="0"/>
      </w:pPr>
      <w:r>
        <w:t>Has significant business activity in the country. Significant business activity may be defined either in terms of a monetary threshold, or by such other parameters as may be suitable to the particular situation of the country.</w:t>
      </w:r>
    </w:p>
    <w:p w14:paraId="3AF3208B" w14:textId="77777777" w:rsidR="00EC6B4B" w:rsidRDefault="001305B9">
      <w:pPr>
        <w:pStyle w:val="ListParagraph"/>
        <w:numPr>
          <w:ilvl w:val="0"/>
          <w:numId w:val="28"/>
        </w:numPr>
        <w:pBdr>
          <w:top w:val="nil"/>
          <w:left w:val="nil"/>
          <w:bottom w:val="nil"/>
          <w:right w:val="nil"/>
          <w:between w:val="nil"/>
          <w:bar w:val="nil"/>
        </w:pBdr>
        <w:spacing w:before="120" w:after="120"/>
        <w:ind w:right="221"/>
        <w:contextualSpacing w:val="0"/>
      </w:pPr>
      <w:r>
        <w:t>Has significant, ongoing business relations with financial institutions or DNFBPs subject to AML/CFT regulation in the country. Significant here could be in relation to the size of the relevant market and/or the impact of the business activity in the relevant market or the areas/sectors in which a legal person operates;</w:t>
      </w:r>
    </w:p>
    <w:p w14:paraId="1C344A24" w14:textId="77777777" w:rsidR="00EC6B4B" w:rsidRDefault="001305B9">
      <w:pPr>
        <w:pStyle w:val="ListParagraph"/>
        <w:numPr>
          <w:ilvl w:val="0"/>
          <w:numId w:val="28"/>
        </w:numPr>
        <w:pBdr>
          <w:top w:val="nil"/>
          <w:left w:val="nil"/>
          <w:bottom w:val="nil"/>
          <w:right w:val="nil"/>
          <w:between w:val="nil"/>
          <w:bar w:val="nil"/>
        </w:pBdr>
        <w:spacing w:before="120" w:after="120"/>
        <w:ind w:right="221"/>
        <w:contextualSpacing w:val="0"/>
      </w:pPr>
      <w:r>
        <w:t>Has significant real estate or other investment in the country, such as ownership of high value commercial or residential real estate, securities market investment or other assets. Significant here could be determined with reference to the average price of the real estate/corresponding asset market in the country, or the quantity of real estate held;</w:t>
      </w:r>
    </w:p>
    <w:p w14:paraId="1D0D1229" w14:textId="77777777" w:rsidR="00EC6B4B" w:rsidRDefault="001305B9">
      <w:pPr>
        <w:pStyle w:val="ListParagraph"/>
        <w:numPr>
          <w:ilvl w:val="0"/>
          <w:numId w:val="28"/>
        </w:numPr>
        <w:pBdr>
          <w:top w:val="nil"/>
          <w:left w:val="nil"/>
          <w:bottom w:val="nil"/>
          <w:right w:val="nil"/>
          <w:between w:val="nil"/>
          <w:bar w:val="nil"/>
        </w:pBdr>
        <w:spacing w:before="120" w:after="120"/>
        <w:ind w:right="221"/>
        <w:contextualSpacing w:val="0"/>
      </w:pPr>
      <w:r>
        <w:t>Employs staff, or is a tax resident (e.g. by reason of having its place of effective management or administration there) in the country;</w:t>
      </w:r>
    </w:p>
    <w:p w14:paraId="197E6286" w14:textId="77777777" w:rsidR="00EC6B4B" w:rsidRDefault="001305B9">
      <w:pPr>
        <w:pStyle w:val="Heading2"/>
      </w:pPr>
      <w:bookmarkStart w:id="205" w:name="_Toc117503067"/>
      <w:r>
        <w:t>Risk assessment</w:t>
      </w:r>
      <w:bookmarkEnd w:id="205"/>
    </w:p>
    <w:p w14:paraId="209667ED" w14:textId="77777777" w:rsidR="00EC6B4B" w:rsidRDefault="001305B9">
      <w:pPr>
        <w:pStyle w:val="Para"/>
      </w:pPr>
      <w:r>
        <w:t xml:space="preserve">Countries should conduct a comprehensive risk assessment of all legal persons, taking into </w:t>
      </w:r>
      <w:r>
        <w:rPr>
          <w:spacing w:val="-46"/>
        </w:rPr>
        <w:t xml:space="preserve">   </w:t>
      </w:r>
      <w:r>
        <w:t>consideration</w:t>
      </w:r>
      <w:r>
        <w:rPr>
          <w:spacing w:val="30"/>
        </w:rPr>
        <w:t xml:space="preserve"> </w:t>
      </w:r>
      <w:r>
        <w:t>the</w:t>
      </w:r>
      <w:r>
        <w:rPr>
          <w:spacing w:val="30"/>
        </w:rPr>
        <w:t xml:space="preserve"> </w:t>
      </w:r>
      <w:r>
        <w:t>relevant</w:t>
      </w:r>
      <w:r>
        <w:rPr>
          <w:spacing w:val="28"/>
        </w:rPr>
        <w:t xml:space="preserve"> </w:t>
      </w:r>
      <w:r>
        <w:t>legal</w:t>
      </w:r>
      <w:r>
        <w:rPr>
          <w:spacing w:val="30"/>
        </w:rPr>
        <w:t xml:space="preserve"> </w:t>
      </w:r>
      <w:r>
        <w:t>and</w:t>
      </w:r>
      <w:r>
        <w:rPr>
          <w:spacing w:val="30"/>
        </w:rPr>
        <w:t xml:space="preserve"> </w:t>
      </w:r>
      <w:r>
        <w:t>regulatory</w:t>
      </w:r>
      <w:r>
        <w:rPr>
          <w:spacing w:val="27"/>
        </w:rPr>
        <w:t xml:space="preserve"> </w:t>
      </w:r>
      <w:r>
        <w:t>contextual</w:t>
      </w:r>
      <w:r>
        <w:rPr>
          <w:spacing w:val="28"/>
        </w:rPr>
        <w:t xml:space="preserve"> </w:t>
      </w:r>
      <w:r>
        <w:t>issues</w:t>
      </w:r>
      <w:r>
        <w:rPr>
          <w:spacing w:val="31"/>
        </w:rPr>
        <w:t xml:space="preserve"> </w:t>
      </w:r>
      <w:r>
        <w:t>specific</w:t>
      </w:r>
      <w:r>
        <w:rPr>
          <w:spacing w:val="30"/>
        </w:rPr>
        <w:t xml:space="preserve"> </w:t>
      </w:r>
      <w:r>
        <w:t>to</w:t>
      </w:r>
      <w:r>
        <w:rPr>
          <w:spacing w:val="30"/>
        </w:rPr>
        <w:t xml:space="preserve"> </w:t>
      </w:r>
      <w:r>
        <w:t>the</w:t>
      </w:r>
      <w:r>
        <w:rPr>
          <w:spacing w:val="28"/>
        </w:rPr>
        <w:t xml:space="preserve"> </w:t>
      </w:r>
      <w:r>
        <w:t>country, and the particular international threats and vulnerabilities that the country faces. This may be a standalone assessment or form part of the broader assessment of the ML/TF risks in the country.</w:t>
      </w:r>
      <w:r>
        <w:rPr>
          <w:spacing w:val="30"/>
        </w:rPr>
        <w:t xml:space="preserve">  </w:t>
      </w:r>
    </w:p>
    <w:p w14:paraId="451DC03F" w14:textId="77777777" w:rsidR="00EC6B4B" w:rsidRDefault="001305B9">
      <w:pPr>
        <w:pStyle w:val="Para"/>
      </w:pPr>
      <w:r>
        <w:t xml:space="preserve">As part of the risk assessment, steps which countries can consider include, but are not limited to: </w:t>
      </w:r>
    </w:p>
    <w:p w14:paraId="2164FFDD" w14:textId="77777777" w:rsidR="00EC6B4B" w:rsidRDefault="001305B9">
      <w:pPr>
        <w:pStyle w:val="ListParagraph"/>
        <w:numPr>
          <w:ilvl w:val="0"/>
          <w:numId w:val="29"/>
        </w:numPr>
        <w:pBdr>
          <w:top w:val="nil"/>
          <w:left w:val="nil"/>
          <w:bottom w:val="nil"/>
          <w:right w:val="nil"/>
          <w:between w:val="nil"/>
          <w:bar w:val="nil"/>
        </w:pBdr>
        <w:spacing w:before="120" w:after="120"/>
        <w:ind w:right="221"/>
        <w:contextualSpacing w:val="0"/>
      </w:pPr>
      <w:r>
        <w:t xml:space="preserve">Collect and analyse registration statistics (e.g. incorporation volumes and trends) on all types of legal persons that can be created under their national laws; </w:t>
      </w:r>
    </w:p>
    <w:p w14:paraId="3AB885FF" w14:textId="77777777" w:rsidR="00EC6B4B" w:rsidRDefault="001305B9">
      <w:pPr>
        <w:pStyle w:val="ListParagraph"/>
        <w:numPr>
          <w:ilvl w:val="0"/>
          <w:numId w:val="29"/>
        </w:numPr>
        <w:pBdr>
          <w:top w:val="nil"/>
          <w:left w:val="nil"/>
          <w:bottom w:val="nil"/>
          <w:right w:val="nil"/>
          <w:between w:val="nil"/>
          <w:bar w:val="nil"/>
        </w:pBdr>
        <w:spacing w:before="120" w:after="120"/>
        <w:ind w:right="221"/>
        <w:contextualSpacing w:val="0"/>
      </w:pPr>
      <w:r>
        <w:t xml:space="preserve">Review and analyse suspicious transaction reports, and national law enforcement and prosecutorial cases in which domestic or foreign legal persons have been misused for criminal purposes, and record details on the nature of abuse, type of legal structure (e.g. with regard to nominee shareholders or directors and shell companies), jurisdiction of incorporation, concealment techniques in ownership/control arrangements, involvement of intermediaries (e.g. lawyers, accountants, TCSPs), and other details; </w:t>
      </w:r>
    </w:p>
    <w:p w14:paraId="53F950C4" w14:textId="77777777" w:rsidR="00EC6B4B" w:rsidRDefault="001305B9">
      <w:pPr>
        <w:pStyle w:val="ListParagraph"/>
        <w:numPr>
          <w:ilvl w:val="0"/>
          <w:numId w:val="29"/>
        </w:numPr>
        <w:pBdr>
          <w:top w:val="nil"/>
          <w:left w:val="nil"/>
          <w:bottom w:val="nil"/>
          <w:right w:val="nil"/>
          <w:between w:val="nil"/>
          <w:bar w:val="nil"/>
        </w:pBdr>
        <w:spacing w:before="120" w:after="120"/>
        <w:ind w:right="221"/>
        <w:contextualSpacing w:val="0"/>
      </w:pPr>
      <w:r>
        <w:t>Identify the most common typologies of abuse of domestic or foreign legal structures that have a nexus to their jurisdictions and assess the level of incidence;</w:t>
      </w:r>
    </w:p>
    <w:p w14:paraId="1E9C53D6" w14:textId="77777777" w:rsidR="00EC6B4B" w:rsidRDefault="001305B9">
      <w:pPr>
        <w:pStyle w:val="ListParagraph"/>
        <w:numPr>
          <w:ilvl w:val="0"/>
          <w:numId w:val="29"/>
        </w:numPr>
        <w:pBdr>
          <w:top w:val="nil"/>
          <w:left w:val="nil"/>
          <w:bottom w:val="nil"/>
          <w:right w:val="nil"/>
          <w:between w:val="nil"/>
          <w:bar w:val="nil"/>
        </w:pBdr>
        <w:spacing w:before="120" w:after="120"/>
        <w:ind w:right="221"/>
        <w:contextualSpacing w:val="0"/>
      </w:pPr>
      <w:r>
        <w:t>Investigate advertising practices by TCSPs promoting the jurisdiction as an international center for incorporation/entity formation to non-residents (which attributes (e.g. anonymity, asset protection) are they advertising to non-residents to attract incorporation business?)</w:t>
      </w:r>
    </w:p>
    <w:p w14:paraId="6E48EA0B" w14:textId="77777777" w:rsidR="00EC6B4B" w:rsidRDefault="001305B9">
      <w:pPr>
        <w:pStyle w:val="ListParagraph"/>
        <w:numPr>
          <w:ilvl w:val="0"/>
          <w:numId w:val="29"/>
        </w:numPr>
        <w:pBdr>
          <w:top w:val="nil"/>
          <w:left w:val="nil"/>
          <w:bottom w:val="nil"/>
          <w:right w:val="nil"/>
          <w:between w:val="nil"/>
          <w:bar w:val="nil"/>
        </w:pBdr>
        <w:spacing w:before="120" w:after="120"/>
        <w:ind w:right="221"/>
        <w:contextualSpacing w:val="0"/>
      </w:pPr>
      <w:r>
        <w:t xml:space="preserve">Conduct expert consultations with external experts from the private sector, civil society, and academia, who hold significant expertise on setting up legal structures, on their benefits and risks; </w:t>
      </w:r>
    </w:p>
    <w:p w14:paraId="7E4795C3" w14:textId="77777777" w:rsidR="00EC6B4B" w:rsidRDefault="001305B9">
      <w:pPr>
        <w:pStyle w:val="Para"/>
      </w:pPr>
      <w:r>
        <w:t>When assessing the risks associated with different types of legal persons, countries should also consider the exposure to risks stemming from legal persons created in foreign jurisdictions (e.g.  high-risk jurisdictions subject to a call for action or under increased monitoring of the FATF, or jurisdictions subject to economic or financial sanctions, embargoes or similar measures that are related to terrorist financing and issued by organisations such as the UN), and</w:t>
      </w:r>
      <w:r>
        <w:rPr>
          <w:spacing w:val="-3"/>
        </w:rPr>
        <w:t xml:space="preserve"> </w:t>
      </w:r>
      <w:r>
        <w:t>types of</w:t>
      </w:r>
      <w:r>
        <w:rPr>
          <w:spacing w:val="-3"/>
        </w:rPr>
        <w:t xml:space="preserve"> </w:t>
      </w:r>
      <w:r>
        <w:t xml:space="preserve">service providers involved. </w:t>
      </w:r>
    </w:p>
    <w:p w14:paraId="1B495E17" w14:textId="77777777" w:rsidR="00EC6B4B" w:rsidRDefault="001305B9">
      <w:pPr>
        <w:pStyle w:val="Para"/>
      </w:pPr>
      <w:r>
        <w:t xml:space="preserve">Such an assessment of risks may be undertaken at the national, supra-national or sub-national levels, with the ultimate aim of informing the risk assessment at the national level. </w:t>
      </w:r>
    </w:p>
    <w:p w14:paraId="68AB62C2" w14:textId="77777777" w:rsidR="00EC6B4B" w:rsidRDefault="001305B9">
      <w:pPr>
        <w:pStyle w:val="Heading2"/>
      </w:pPr>
      <w:bookmarkStart w:id="206" w:name="_Toc117503068"/>
      <w:r>
        <w:t>Risk mitigation</w:t>
      </w:r>
      <w:bookmarkEnd w:id="206"/>
    </w:p>
    <w:p w14:paraId="11F8947B" w14:textId="77777777" w:rsidR="00EC6B4B" w:rsidRDefault="001305B9">
      <w:pPr>
        <w:pStyle w:val="Para"/>
      </w:pPr>
      <w:r>
        <w:t xml:space="preserve">Countries should take appropriate steps to manage and mitigate the risks identified in the risk assessment. To enable this, it is advisable that the risk assessment involves sufficient analysis of the sources, nature, and the extent of risk involved.  </w:t>
      </w:r>
    </w:p>
    <w:p w14:paraId="0864EAA9" w14:textId="77777777" w:rsidR="00EC6B4B" w:rsidRDefault="001305B9">
      <w:pPr>
        <w:pStyle w:val="Para"/>
      </w:pPr>
      <w:r>
        <w:t>The following illustrates some preventive measures that may be taken by countries to mitigate risks:</w:t>
      </w:r>
    </w:p>
    <w:p w14:paraId="228AFCCF" w14:textId="77777777" w:rsidR="00EC6B4B" w:rsidRDefault="001305B9">
      <w:pPr>
        <w:pStyle w:val="ListParagraph"/>
        <w:numPr>
          <w:ilvl w:val="0"/>
          <w:numId w:val="30"/>
        </w:numPr>
        <w:pBdr>
          <w:top w:val="nil"/>
          <w:left w:val="nil"/>
          <w:bottom w:val="nil"/>
          <w:right w:val="nil"/>
          <w:between w:val="nil"/>
          <w:bar w:val="nil"/>
        </w:pBdr>
        <w:spacing w:before="120" w:after="120"/>
        <w:ind w:right="221"/>
        <w:contextualSpacing w:val="0"/>
      </w:pPr>
      <w:r>
        <w:t>Applying disclosure requirements to legal persons that wish to operate in, own significant assets, or apply for licenses in a country;</w:t>
      </w:r>
    </w:p>
    <w:p w14:paraId="49115981" w14:textId="77777777" w:rsidR="00EC6B4B" w:rsidRDefault="001305B9">
      <w:pPr>
        <w:pStyle w:val="ListParagraph"/>
        <w:numPr>
          <w:ilvl w:val="0"/>
          <w:numId w:val="30"/>
        </w:numPr>
        <w:pBdr>
          <w:top w:val="nil"/>
          <w:left w:val="nil"/>
          <w:bottom w:val="nil"/>
          <w:right w:val="nil"/>
          <w:between w:val="nil"/>
          <w:bar w:val="nil"/>
        </w:pBdr>
        <w:spacing w:before="120" w:after="120"/>
        <w:ind w:right="221"/>
        <w:contextualSpacing w:val="0"/>
      </w:pPr>
      <w:r>
        <w:t>Investigate violations of beneficial ownership reporting rules, with specialised expertise in corporate structures and the threat posed by relevant higher risk entities;</w:t>
      </w:r>
    </w:p>
    <w:p w14:paraId="39A38E91" w14:textId="77777777" w:rsidR="00EC6B4B" w:rsidRDefault="001305B9">
      <w:pPr>
        <w:pStyle w:val="ListParagraph"/>
        <w:numPr>
          <w:ilvl w:val="0"/>
          <w:numId w:val="30"/>
        </w:numPr>
        <w:pBdr>
          <w:top w:val="nil"/>
          <w:left w:val="nil"/>
          <w:bottom w:val="nil"/>
          <w:right w:val="nil"/>
          <w:between w:val="nil"/>
          <w:bar w:val="nil"/>
        </w:pBdr>
        <w:spacing w:before="120" w:after="120"/>
        <w:ind w:right="221"/>
        <w:contextualSpacing w:val="0"/>
      </w:pPr>
      <w:r>
        <w:t>Increase investigative and enforcement capacities and powers of the corporate registry, beneficial ownership registry (if it exists), or other relevant public body;</w:t>
      </w:r>
    </w:p>
    <w:p w14:paraId="52A12F4F" w14:textId="77777777" w:rsidR="00EC6B4B" w:rsidRDefault="001305B9">
      <w:pPr>
        <w:pStyle w:val="ListParagraph"/>
        <w:numPr>
          <w:ilvl w:val="0"/>
          <w:numId w:val="30"/>
        </w:numPr>
        <w:pBdr>
          <w:top w:val="nil"/>
          <w:left w:val="nil"/>
          <w:bottom w:val="nil"/>
          <w:right w:val="nil"/>
          <w:between w:val="nil"/>
          <w:bar w:val="nil"/>
        </w:pBdr>
        <w:spacing w:before="120" w:after="120"/>
        <w:ind w:left="1486" w:right="221" w:hanging="567"/>
        <w:contextualSpacing w:val="0"/>
      </w:pPr>
      <w:r>
        <w:t>Introduce a requirement for the legal person to have at least one natural person resident director within the jurisdiction so that it could be traceable by the competent authorities, and if necessary sanctioned;</w:t>
      </w:r>
    </w:p>
    <w:p w14:paraId="0CA0D35A" w14:textId="77777777" w:rsidR="00EC6B4B" w:rsidRDefault="001305B9">
      <w:pPr>
        <w:pStyle w:val="ListParagraph"/>
        <w:numPr>
          <w:ilvl w:val="0"/>
          <w:numId w:val="30"/>
        </w:numPr>
        <w:pBdr>
          <w:top w:val="nil"/>
          <w:left w:val="nil"/>
          <w:bottom w:val="nil"/>
          <w:right w:val="nil"/>
          <w:between w:val="nil"/>
          <w:bar w:val="nil"/>
        </w:pBdr>
        <w:spacing w:before="120" w:after="120"/>
        <w:ind w:right="221"/>
        <w:contextualSpacing w:val="0"/>
      </w:pPr>
      <w:r>
        <w:t>Setting an appropriate beneficial ownership threshold (see section 4 on beneficial ownership information);</w:t>
      </w:r>
    </w:p>
    <w:p w14:paraId="10D8DB85" w14:textId="77777777" w:rsidR="00EC6B4B" w:rsidRDefault="001305B9">
      <w:pPr>
        <w:pStyle w:val="ListParagraph"/>
        <w:numPr>
          <w:ilvl w:val="0"/>
          <w:numId w:val="30"/>
        </w:numPr>
        <w:pBdr>
          <w:top w:val="nil"/>
          <w:left w:val="nil"/>
          <w:bottom w:val="nil"/>
          <w:right w:val="nil"/>
          <w:between w:val="nil"/>
          <w:bar w:val="nil"/>
        </w:pBdr>
        <w:spacing w:before="120" w:after="120"/>
        <w:ind w:right="221"/>
        <w:contextualSpacing w:val="0"/>
      </w:pPr>
      <w:r>
        <w:t>Introduce arrangements where actors in specific sectors, particularly those deemed to be at higher risk, can detect and report activity of concern.</w:t>
      </w:r>
    </w:p>
    <w:p w14:paraId="6A6A3D27" w14:textId="77777777" w:rsidR="00EC6B4B" w:rsidRDefault="001305B9">
      <w:pPr>
        <w:pStyle w:val="Heading2"/>
      </w:pPr>
      <w:bookmarkStart w:id="207" w:name="_Toc117503069"/>
      <w:r>
        <w:t>Understanding and addressing cross-border risks</w:t>
      </w:r>
      <w:bookmarkEnd w:id="207"/>
    </w:p>
    <w:p w14:paraId="08B8F815" w14:textId="77777777" w:rsidR="00EC6B4B" w:rsidRDefault="001305B9">
      <w:pPr>
        <w:pStyle w:val="Para"/>
      </w:pPr>
      <w:r>
        <w:t>Complex company structures that span across multiple jurisdictions can be associated with higher risks. In the context of criminal misuse of such structures, it is commonly observed that such corporate networks deliberately split company formation, asset ownership/administration, location of professional intermediaries, and location of bank accounts across different countries in order to evade regulations. Such cross-border nature of corporate network makes it more difficult for authorities in any single jurisdiction to understand the full picture of abuse of their domestic legal structures for money laundering, terrorist financing, and predicate crimes.  It is therefore important for countries to include consideration and analysis of different types of cross-border risks in their risk assessment.</w:t>
      </w:r>
    </w:p>
    <w:p w14:paraId="3B11FB38" w14:textId="77777777" w:rsidR="00EC6B4B" w:rsidRDefault="001305B9">
      <w:pPr>
        <w:pStyle w:val="Heading2"/>
      </w:pPr>
      <w:bookmarkStart w:id="208" w:name="_Toc117503070"/>
      <w:r>
        <w:t>Sharing and disseminating results of the risk assessment</w:t>
      </w:r>
      <w:bookmarkEnd w:id="208"/>
    </w:p>
    <w:p w14:paraId="3BDF7906" w14:textId="77777777" w:rsidR="00EC6B4B" w:rsidRDefault="001305B9">
      <w:pPr>
        <w:pStyle w:val="Para"/>
      </w:pPr>
      <w:r>
        <w:t>The results of the risk assessment should be shared widely among competent authorities. With necessary redactions for any sensitive information taking into account their information sharing/disclosure laws, countries should also share results with key private sector partners to strengthen enforcement, and with key civil society and academic partners to advance knowledge about risks, consistent with Recommendation 1. Countries can also consider maintaining periodic/ongoing dialogue between public and private sector stakeholder on risk assessments and sharing of typologies.</w:t>
      </w:r>
    </w:p>
    <w:p w14:paraId="0732A151" w14:textId="77777777" w:rsidR="00EC6B4B" w:rsidRDefault="001305B9">
      <w:pPr>
        <w:pStyle w:val="Para"/>
      </w:pPr>
      <w:r>
        <w:t>To advance international exchange and increase understanding of common risk factors related to abuse of legal persons, countries may consider making results of their assessment (in full or in part) publicly available, with any necessary redactions.</w:t>
      </w:r>
    </w:p>
    <w:p w14:paraId="3C635480" w14:textId="77777777" w:rsidR="00EC6B4B" w:rsidRDefault="001305B9">
      <w:pPr>
        <w:pStyle w:val="Heading1"/>
      </w:pPr>
      <w:bookmarkStart w:id="209" w:name="_Toc117503071"/>
      <w:r>
        <w:t>Basic information</w:t>
      </w:r>
      <w:bookmarkEnd w:id="209"/>
    </w:p>
    <w:p w14:paraId="49AD958E" w14:textId="77777777" w:rsidR="00EC6B4B" w:rsidRDefault="001305B9">
      <w:pPr>
        <w:pStyle w:val="Heading2"/>
      </w:pPr>
      <w:bookmarkStart w:id="210" w:name="_Toc117503072"/>
      <w:r>
        <w:t>Company registries</w:t>
      </w:r>
      <w:bookmarkEnd w:id="210"/>
    </w:p>
    <w:p w14:paraId="234F475F" w14:textId="77777777" w:rsidR="00EC6B4B" w:rsidRDefault="001305B9">
      <w:pPr>
        <w:pStyle w:val="Para"/>
        <w:rPr>
          <w:rFonts w:eastAsia="Cambria"/>
        </w:rPr>
      </w:pPr>
      <w:r>
        <w:rPr>
          <w:rFonts w:eastAsia="Cambria"/>
        </w:rPr>
        <w:t xml:space="preserve">The </w:t>
      </w:r>
      <w:r>
        <w:t>Interpretive</w:t>
      </w:r>
      <w:r>
        <w:rPr>
          <w:rFonts w:eastAsia="Cambria"/>
        </w:rPr>
        <w:t xml:space="preserve"> Note to Recommendation 24 requires that all companies created in a country should be registered in a company registry</w:t>
      </w:r>
      <w:r>
        <w:rPr>
          <w:rStyle w:val="FootnoteReference"/>
          <w:rFonts w:eastAsia="Cambria"/>
        </w:rPr>
        <w:footnoteReference w:id="22"/>
      </w:r>
      <w:r>
        <w:rPr>
          <w:rFonts w:eastAsia="Cambria"/>
        </w:rPr>
        <w:t>. Recommendation 24 requires countries to ensure, as a necessary</w:t>
      </w:r>
      <w:r>
        <w:rPr>
          <w:rFonts w:eastAsia="Cambria"/>
          <w:spacing w:val="1"/>
        </w:rPr>
        <w:t xml:space="preserve"> </w:t>
      </w:r>
      <w:r>
        <w:rPr>
          <w:rFonts w:eastAsia="Cambria"/>
        </w:rPr>
        <w:t>prerequisite for the identification of beneficial ownership,</w:t>
      </w:r>
      <w:r>
        <w:rPr>
          <w:rFonts w:eastAsia="Cambria"/>
          <w:spacing w:val="1"/>
        </w:rPr>
        <w:t xml:space="preserve"> </w:t>
      </w:r>
      <w:r>
        <w:rPr>
          <w:rFonts w:eastAsia="Cambria"/>
        </w:rPr>
        <w:t>that</w:t>
      </w:r>
      <w:r>
        <w:rPr>
          <w:rFonts w:eastAsia="Cambria"/>
          <w:spacing w:val="1"/>
        </w:rPr>
        <w:t xml:space="preserve"> </w:t>
      </w:r>
      <w:r>
        <w:rPr>
          <w:rFonts w:eastAsia="Cambria"/>
        </w:rPr>
        <w:t>basic</w:t>
      </w:r>
      <w:r>
        <w:rPr>
          <w:rFonts w:eastAsia="Cambria"/>
          <w:spacing w:val="1"/>
        </w:rPr>
        <w:t xml:space="preserve"> </w:t>
      </w:r>
      <w:r>
        <w:rPr>
          <w:rFonts w:eastAsia="Cambria"/>
        </w:rPr>
        <w:t>information</w:t>
      </w:r>
      <w:r>
        <w:rPr>
          <w:rFonts w:eastAsia="Cambria"/>
          <w:spacing w:val="1"/>
        </w:rPr>
        <w:t xml:space="preserve"> </w:t>
      </w:r>
      <w:r>
        <w:rPr>
          <w:rFonts w:eastAsia="Cambria"/>
        </w:rPr>
        <w:t>on</w:t>
      </w:r>
      <w:r>
        <w:rPr>
          <w:rFonts w:eastAsia="Cambria"/>
          <w:spacing w:val="1"/>
        </w:rPr>
        <w:t xml:space="preserve"> </w:t>
      </w:r>
      <w:r>
        <w:rPr>
          <w:rFonts w:eastAsia="Cambria"/>
        </w:rPr>
        <w:t>companies</w:t>
      </w:r>
      <w:r>
        <w:rPr>
          <w:rFonts w:eastAsia="Cambria"/>
          <w:spacing w:val="1"/>
        </w:rPr>
        <w:t xml:space="preserve"> </w:t>
      </w:r>
      <w:r>
        <w:rPr>
          <w:rFonts w:eastAsia="Cambria"/>
        </w:rPr>
        <w:t>is</w:t>
      </w:r>
      <w:r>
        <w:rPr>
          <w:rFonts w:eastAsia="Cambria"/>
          <w:spacing w:val="1"/>
        </w:rPr>
        <w:t xml:space="preserve"> </w:t>
      </w:r>
      <w:r>
        <w:rPr>
          <w:rFonts w:eastAsia="Cambria"/>
        </w:rPr>
        <w:t>obtained</w:t>
      </w:r>
      <w:r>
        <w:rPr>
          <w:rFonts w:eastAsia="Cambria"/>
          <w:spacing w:val="1"/>
        </w:rPr>
        <w:t xml:space="preserve"> </w:t>
      </w:r>
      <w:r>
        <w:rPr>
          <w:rFonts w:eastAsia="Cambria"/>
        </w:rPr>
        <w:t>and</w:t>
      </w:r>
      <w:r>
        <w:rPr>
          <w:rFonts w:eastAsia="Cambria"/>
          <w:spacing w:val="1"/>
        </w:rPr>
        <w:t xml:space="preserve"> </w:t>
      </w:r>
      <w:r>
        <w:rPr>
          <w:rFonts w:eastAsia="Cambria"/>
        </w:rPr>
        <w:t>recorded</w:t>
      </w:r>
      <w:r>
        <w:rPr>
          <w:rFonts w:eastAsia="Cambria"/>
          <w:spacing w:val="1"/>
        </w:rPr>
        <w:t xml:space="preserve"> </w:t>
      </w:r>
      <w:r>
        <w:rPr>
          <w:rFonts w:eastAsia="Cambria"/>
        </w:rPr>
        <w:t>by</w:t>
      </w:r>
      <w:r>
        <w:rPr>
          <w:rFonts w:eastAsia="Cambria"/>
          <w:spacing w:val="1"/>
        </w:rPr>
        <w:t xml:space="preserve"> </w:t>
      </w:r>
      <w:r>
        <w:rPr>
          <w:rFonts w:eastAsia="Cambria"/>
        </w:rPr>
        <w:t>the</w:t>
      </w:r>
      <w:r>
        <w:rPr>
          <w:rFonts w:eastAsia="Cambria"/>
          <w:spacing w:val="48"/>
        </w:rPr>
        <w:t xml:space="preserve"> </w:t>
      </w:r>
      <w:r>
        <w:rPr>
          <w:rFonts w:eastAsia="Cambria"/>
        </w:rPr>
        <w:t>company</w:t>
      </w:r>
      <w:r>
        <w:rPr>
          <w:rFonts w:eastAsia="Cambria"/>
          <w:spacing w:val="1"/>
        </w:rPr>
        <w:t xml:space="preserve"> </w:t>
      </w:r>
      <w:r>
        <w:rPr>
          <w:rFonts w:eastAsia="Cambria"/>
        </w:rPr>
        <w:t>registry</w:t>
      </w:r>
      <w:r>
        <w:rPr>
          <w:rStyle w:val="FootnoteReference"/>
          <w:rFonts w:eastAsia="Cambria"/>
        </w:rPr>
        <w:footnoteReference w:id="23"/>
      </w:r>
      <w:r>
        <w:rPr>
          <w:rFonts w:eastAsia="Cambria"/>
        </w:rPr>
        <w:t>.</w:t>
      </w:r>
      <w:r>
        <w:rPr>
          <w:rFonts w:eastAsia="Cambria"/>
          <w:spacing w:val="-4"/>
        </w:rPr>
        <w:t xml:space="preserve"> </w:t>
      </w:r>
      <w:r>
        <w:rPr>
          <w:rFonts w:eastAsia="Cambria"/>
        </w:rPr>
        <w:t>This</w:t>
      </w:r>
      <w:r>
        <w:rPr>
          <w:rFonts w:eastAsia="Cambria"/>
          <w:spacing w:val="-2"/>
        </w:rPr>
        <w:t xml:space="preserve"> </w:t>
      </w:r>
      <w:r>
        <w:rPr>
          <w:rFonts w:eastAsia="Cambria"/>
        </w:rPr>
        <w:t>should</w:t>
      </w:r>
      <w:r>
        <w:rPr>
          <w:rFonts w:eastAsia="Cambria"/>
          <w:spacing w:val="-1"/>
        </w:rPr>
        <w:t xml:space="preserve"> </w:t>
      </w:r>
      <w:r>
        <w:rPr>
          <w:rFonts w:eastAsia="Cambria"/>
        </w:rPr>
        <w:t>include</w:t>
      </w:r>
      <w:r>
        <w:rPr>
          <w:rFonts w:eastAsia="Cambria"/>
          <w:spacing w:val="2"/>
        </w:rPr>
        <w:t xml:space="preserve"> </w:t>
      </w:r>
      <w:r>
        <w:rPr>
          <w:rFonts w:eastAsia="Cambria"/>
        </w:rPr>
        <w:t>the</w:t>
      </w:r>
      <w:r>
        <w:rPr>
          <w:rFonts w:eastAsia="Cambria"/>
          <w:spacing w:val="-1"/>
        </w:rPr>
        <w:t xml:space="preserve"> </w:t>
      </w:r>
      <w:r>
        <w:rPr>
          <w:rFonts w:eastAsia="Cambria"/>
        </w:rPr>
        <w:t>following:</w:t>
      </w:r>
    </w:p>
    <w:p w14:paraId="3371D8BC" w14:textId="77777777" w:rsidR="00EC6B4B" w:rsidRDefault="001305B9">
      <w:pPr>
        <w:pStyle w:val="BulletedList"/>
        <w:rPr>
          <w:rFonts w:eastAsia="Cambria"/>
        </w:rPr>
      </w:pPr>
      <w:r>
        <w:t>the company name, proof of incorporation, legal form and status, the address of the registered office, basic regulating powers (for example, memorandum and articles of association), a list of directors</w:t>
      </w:r>
      <w:r>
        <w:rPr>
          <w:rFonts w:eastAsia="Cambria"/>
        </w:rPr>
        <w:t>, and unique identifier such as a tax identification number or equivalent (where this exists).</w:t>
      </w:r>
      <w:r>
        <w:rPr>
          <w:rStyle w:val="FootnoteReference"/>
          <w:rFonts w:eastAsia="Cambria"/>
        </w:rPr>
        <w:footnoteReference w:id="24"/>
      </w:r>
    </w:p>
    <w:p w14:paraId="31947A3E" w14:textId="77777777" w:rsidR="00EC6B4B" w:rsidRDefault="001305B9">
      <w:pPr>
        <w:pStyle w:val="Para"/>
        <w:rPr>
          <w:rFonts w:eastAsia="Cambria"/>
        </w:rPr>
      </w:pPr>
      <w:r>
        <w:rPr>
          <w:rFonts w:eastAsia="Cambria"/>
        </w:rPr>
        <w:t>This information held by the company registry should be made publicly available. With respect to tax identification number (or equivalent), in countries where this information is obtained and recorded by another public body instead of a company register, there may be certain legal limitations to whether this information can be made publicly available.</w:t>
      </w:r>
    </w:p>
    <w:p w14:paraId="28225D1D" w14:textId="77777777" w:rsidR="00EC6B4B" w:rsidRDefault="001305B9">
      <w:pPr>
        <w:pStyle w:val="Para"/>
        <w:rPr>
          <w:rFonts w:eastAsia="Cambria"/>
        </w:rPr>
      </w:pPr>
      <w:r>
        <w:rPr>
          <w:rFonts w:eastAsia="Cambria"/>
        </w:rPr>
        <w:t>The role of company registries varies greatly between countries, as does the level and quality of information obtained on companies. Countries should be aware of any issues that could negatively impact the reliability of the information contained in the company registry. For example, a number of company registries play a passive role, acting as repositories of information or documents, rather than undertaking checks or other measures to ensure that the information they receive is accurate. Additionally, in many countries, company registry information is not always reliably kept up to date. Where these issues exist, countries should consider taking measures to enhance the reliability of information contained in their company registry.</w:t>
      </w:r>
    </w:p>
    <w:p w14:paraId="495AEB0A" w14:textId="77777777" w:rsidR="00EC6B4B" w:rsidRDefault="001305B9">
      <w:pPr>
        <w:pStyle w:val="Heading2"/>
      </w:pPr>
      <w:bookmarkStart w:id="211" w:name="_Toc117503073"/>
      <w:r>
        <w:t>Companies</w:t>
      </w:r>
      <w:bookmarkEnd w:id="211"/>
    </w:p>
    <w:p w14:paraId="3FF7BFBD" w14:textId="77777777" w:rsidR="00EC6B4B" w:rsidRDefault="001305B9">
      <w:pPr>
        <w:pStyle w:val="Para"/>
        <w:rPr>
          <w:rFonts w:eastAsia="Cambria"/>
        </w:rPr>
      </w:pPr>
      <w:r>
        <w:rPr>
          <w:rFonts w:eastAsia="Cambria"/>
        </w:rPr>
        <w:t>Companies should be required to obtain and record basic information as set out in the following, some of which is the same as that recorded by the company registry as discussed above:</w:t>
      </w:r>
    </w:p>
    <w:p w14:paraId="1E839F16" w14:textId="77777777" w:rsidR="00EC6B4B" w:rsidRDefault="001305B9">
      <w:pPr>
        <w:pStyle w:val="ListParagraph"/>
        <w:numPr>
          <w:ilvl w:val="0"/>
          <w:numId w:val="18"/>
        </w:numPr>
        <w:tabs>
          <w:tab w:val="left" w:pos="709"/>
        </w:tabs>
        <w:autoSpaceDE w:val="0"/>
        <w:autoSpaceDN w:val="0"/>
        <w:spacing w:before="120" w:after="120"/>
        <w:ind w:left="714" w:right="227" w:hanging="357"/>
        <w:rPr>
          <w:rFonts w:eastAsia="Cambria"/>
        </w:rPr>
      </w:pPr>
      <w:r>
        <w:rPr>
          <w:rFonts w:eastAsia="Cambria"/>
        </w:rPr>
        <w:t>the company name, proof of incorporation, legal form and status, the address of the</w:t>
      </w:r>
      <w:r>
        <w:rPr>
          <w:rFonts w:eastAsia="Cambria"/>
          <w:spacing w:val="1"/>
        </w:rPr>
        <w:t xml:space="preserve"> </w:t>
      </w:r>
      <w:r>
        <w:rPr>
          <w:rFonts w:eastAsia="Cambria"/>
        </w:rPr>
        <w:t>registered office, basic regulating powers (for example, memorandum and articles of</w:t>
      </w:r>
      <w:r>
        <w:rPr>
          <w:rFonts w:eastAsia="Cambria"/>
          <w:spacing w:val="1"/>
        </w:rPr>
        <w:t xml:space="preserve"> </w:t>
      </w:r>
      <w:r>
        <w:rPr>
          <w:rFonts w:eastAsia="Cambria"/>
        </w:rPr>
        <w:t>association),</w:t>
      </w:r>
      <w:r>
        <w:rPr>
          <w:rFonts w:eastAsia="Cambria"/>
          <w:spacing w:val="-1"/>
        </w:rPr>
        <w:t xml:space="preserve"> </w:t>
      </w:r>
      <w:r>
        <w:rPr>
          <w:rFonts w:eastAsia="Cambria"/>
        </w:rPr>
        <w:t>a list</w:t>
      </w:r>
      <w:r>
        <w:rPr>
          <w:rFonts w:eastAsia="Cambria"/>
          <w:spacing w:val="-1"/>
        </w:rPr>
        <w:t xml:space="preserve"> </w:t>
      </w:r>
      <w:r>
        <w:rPr>
          <w:rFonts w:eastAsia="Cambria"/>
        </w:rPr>
        <w:t>of directors, and unique identifier such as a tax identification number or equivalent (where this exists); and</w:t>
      </w:r>
    </w:p>
    <w:p w14:paraId="3A7AD846" w14:textId="77777777" w:rsidR="00EC6B4B" w:rsidRDefault="001305B9">
      <w:pPr>
        <w:pStyle w:val="ListParagraph"/>
        <w:numPr>
          <w:ilvl w:val="0"/>
          <w:numId w:val="18"/>
        </w:numPr>
        <w:tabs>
          <w:tab w:val="left" w:pos="709"/>
        </w:tabs>
        <w:autoSpaceDE w:val="0"/>
        <w:autoSpaceDN w:val="0"/>
        <w:spacing w:before="120" w:after="120"/>
        <w:ind w:left="714" w:right="220" w:hanging="357"/>
        <w:rPr>
          <w:rFonts w:eastAsia="Cambria"/>
        </w:rPr>
      </w:pPr>
      <w:r>
        <w:rPr>
          <w:rFonts w:eastAsia="Cambria"/>
        </w:rPr>
        <w:t>a register of their shareholders or members, containing the names of the shareholders and members and number of shares held by</w:t>
      </w:r>
      <w:r>
        <w:rPr>
          <w:rFonts w:eastAsia="Cambria"/>
          <w:spacing w:val="1"/>
        </w:rPr>
        <w:t xml:space="preserve"> </w:t>
      </w:r>
      <w:r>
        <w:rPr>
          <w:rFonts w:eastAsia="Cambria"/>
        </w:rPr>
        <w:t>each</w:t>
      </w:r>
      <w:r>
        <w:rPr>
          <w:rFonts w:eastAsia="Cambria"/>
          <w:spacing w:val="1"/>
        </w:rPr>
        <w:t xml:space="preserve"> </w:t>
      </w:r>
      <w:r>
        <w:rPr>
          <w:rFonts w:eastAsia="Cambria"/>
        </w:rPr>
        <w:t>shareholder</w:t>
      </w:r>
      <w:r>
        <w:rPr>
          <w:rFonts w:eastAsia="Cambria"/>
          <w:spacing w:val="1"/>
        </w:rPr>
        <w:t xml:space="preserve"> </w:t>
      </w:r>
      <w:r>
        <w:rPr>
          <w:rFonts w:eastAsia="Cambria"/>
        </w:rPr>
        <w:t>and categories</w:t>
      </w:r>
      <w:r>
        <w:rPr>
          <w:rFonts w:eastAsia="Cambria"/>
          <w:spacing w:val="1"/>
        </w:rPr>
        <w:t xml:space="preserve"> </w:t>
      </w:r>
      <w:r>
        <w:rPr>
          <w:rFonts w:eastAsia="Cambria"/>
        </w:rPr>
        <w:t>of shares</w:t>
      </w:r>
      <w:r>
        <w:rPr>
          <w:rFonts w:eastAsia="Cambria"/>
          <w:spacing w:val="1"/>
        </w:rPr>
        <w:t xml:space="preserve"> </w:t>
      </w:r>
      <w:r>
        <w:rPr>
          <w:rFonts w:eastAsia="Cambria"/>
        </w:rPr>
        <w:t>(including</w:t>
      </w:r>
      <w:r>
        <w:rPr>
          <w:rFonts w:eastAsia="Cambria"/>
          <w:spacing w:val="1"/>
        </w:rPr>
        <w:t xml:space="preserve"> </w:t>
      </w:r>
      <w:r>
        <w:rPr>
          <w:rFonts w:eastAsia="Cambria"/>
        </w:rPr>
        <w:t>the</w:t>
      </w:r>
      <w:r>
        <w:rPr>
          <w:rFonts w:eastAsia="Cambria"/>
          <w:spacing w:val="1"/>
        </w:rPr>
        <w:t xml:space="preserve"> </w:t>
      </w:r>
      <w:r>
        <w:rPr>
          <w:rFonts w:eastAsia="Cambria"/>
        </w:rPr>
        <w:t>nature</w:t>
      </w:r>
      <w:r>
        <w:rPr>
          <w:rFonts w:eastAsia="Cambria"/>
          <w:spacing w:val="1"/>
        </w:rPr>
        <w:t xml:space="preserve"> </w:t>
      </w:r>
      <w:r>
        <w:rPr>
          <w:rFonts w:eastAsia="Cambria"/>
        </w:rPr>
        <w:t>of</w:t>
      </w:r>
      <w:r>
        <w:rPr>
          <w:rFonts w:eastAsia="Cambria"/>
          <w:spacing w:val="1"/>
        </w:rPr>
        <w:t xml:space="preserve"> </w:t>
      </w:r>
      <w:r>
        <w:rPr>
          <w:rFonts w:eastAsia="Cambria"/>
        </w:rPr>
        <w:t>the</w:t>
      </w:r>
      <w:r>
        <w:rPr>
          <w:rFonts w:eastAsia="Cambria"/>
          <w:spacing w:val="1"/>
        </w:rPr>
        <w:t xml:space="preserve"> </w:t>
      </w:r>
      <w:r>
        <w:rPr>
          <w:rFonts w:eastAsia="Cambria"/>
        </w:rPr>
        <w:t>associated</w:t>
      </w:r>
      <w:r>
        <w:rPr>
          <w:rFonts w:eastAsia="Cambria"/>
          <w:spacing w:val="1"/>
        </w:rPr>
        <w:t xml:space="preserve"> </w:t>
      </w:r>
      <w:r>
        <w:rPr>
          <w:rFonts w:eastAsia="Cambria"/>
        </w:rPr>
        <w:t xml:space="preserve">voting rights). </w:t>
      </w:r>
    </w:p>
    <w:p w14:paraId="15C7C1A2" w14:textId="77777777" w:rsidR="00EC6B4B" w:rsidRDefault="001305B9">
      <w:pPr>
        <w:pStyle w:val="Para"/>
        <w:numPr>
          <w:ilvl w:val="0"/>
          <w:numId w:val="0"/>
        </w:numPr>
        <w:rPr>
          <w:rFonts w:eastAsia="Cambria"/>
        </w:rPr>
      </w:pPr>
      <w:r>
        <w:rPr>
          <w:rFonts w:eastAsia="Cambria"/>
        </w:rPr>
        <w:t>This information can be recorded by the company itself or by a third person under</w:t>
      </w:r>
      <w:r>
        <w:rPr>
          <w:rFonts w:eastAsia="Cambria"/>
          <w:spacing w:val="1"/>
        </w:rPr>
        <w:t xml:space="preserve"> </w:t>
      </w:r>
      <w:r>
        <w:rPr>
          <w:rFonts w:eastAsia="Cambria"/>
        </w:rPr>
        <w:t>the company’s responsibility. The information should be maintained by the company within the</w:t>
      </w:r>
      <w:r>
        <w:rPr>
          <w:rFonts w:eastAsia="Cambria"/>
          <w:spacing w:val="1"/>
        </w:rPr>
        <w:t xml:space="preserve"> </w:t>
      </w:r>
      <w:r>
        <w:rPr>
          <w:rFonts w:eastAsia="Cambria"/>
        </w:rPr>
        <w:t>country, either at its registered office or at another location notified to the company registry. However, if the company or</w:t>
      </w:r>
      <w:r>
        <w:rPr>
          <w:rFonts w:eastAsia="Cambria"/>
          <w:spacing w:val="1"/>
        </w:rPr>
        <w:t xml:space="preserve"> </w:t>
      </w:r>
      <w:r>
        <w:rPr>
          <w:rFonts w:eastAsia="Cambria"/>
        </w:rPr>
        <w:t>company registry holds beneficial ownership information within the country, then the</w:t>
      </w:r>
      <w:r>
        <w:rPr>
          <w:rFonts w:eastAsia="Cambria"/>
          <w:spacing w:val="1"/>
        </w:rPr>
        <w:t xml:space="preserve"> </w:t>
      </w:r>
      <w:r>
        <w:rPr>
          <w:rFonts w:eastAsia="Cambria"/>
        </w:rPr>
        <w:t>register of shareholders need not be in the country, provided that the company can</w:t>
      </w:r>
      <w:r>
        <w:rPr>
          <w:rFonts w:eastAsia="Cambria"/>
          <w:spacing w:val="1"/>
        </w:rPr>
        <w:t xml:space="preserve"> </w:t>
      </w:r>
      <w:r>
        <w:rPr>
          <w:rFonts w:eastAsia="Cambria"/>
        </w:rPr>
        <w:t>provide</w:t>
      </w:r>
      <w:r>
        <w:rPr>
          <w:rFonts w:eastAsia="Cambria"/>
          <w:spacing w:val="-1"/>
        </w:rPr>
        <w:t xml:space="preserve"> </w:t>
      </w:r>
      <w:r>
        <w:rPr>
          <w:rFonts w:eastAsia="Cambria"/>
        </w:rPr>
        <w:t>this</w:t>
      </w:r>
      <w:r>
        <w:rPr>
          <w:rFonts w:eastAsia="Cambria"/>
          <w:spacing w:val="1"/>
        </w:rPr>
        <w:t xml:space="preserve"> </w:t>
      </w:r>
      <w:r>
        <w:rPr>
          <w:rFonts w:eastAsia="Cambria"/>
        </w:rPr>
        <w:t>information</w:t>
      </w:r>
      <w:r>
        <w:rPr>
          <w:rFonts w:eastAsia="Cambria"/>
          <w:spacing w:val="-4"/>
        </w:rPr>
        <w:t xml:space="preserve"> </w:t>
      </w:r>
      <w:r>
        <w:rPr>
          <w:rFonts w:eastAsia="Cambria"/>
        </w:rPr>
        <w:t>promptly</w:t>
      </w:r>
      <w:r>
        <w:rPr>
          <w:rFonts w:eastAsia="Cambria"/>
          <w:spacing w:val="-2"/>
        </w:rPr>
        <w:t xml:space="preserve"> </w:t>
      </w:r>
      <w:r>
        <w:rPr>
          <w:rFonts w:eastAsia="Cambria"/>
        </w:rPr>
        <w:t>on</w:t>
      </w:r>
      <w:r>
        <w:rPr>
          <w:rFonts w:eastAsia="Cambria"/>
          <w:spacing w:val="-1"/>
        </w:rPr>
        <w:t xml:space="preserve"> </w:t>
      </w:r>
      <w:r>
        <w:rPr>
          <w:rFonts w:eastAsia="Cambria"/>
        </w:rPr>
        <w:t>request.</w:t>
      </w:r>
    </w:p>
    <w:p w14:paraId="2B5C3347" w14:textId="77777777" w:rsidR="00EC6B4B" w:rsidRDefault="001305B9">
      <w:pPr>
        <w:pStyle w:val="Heading1"/>
        <w:rPr>
          <w:rFonts w:eastAsia="Calibri"/>
          <w:u w:color="000000"/>
        </w:rPr>
      </w:pPr>
      <w:bookmarkStart w:id="212" w:name="_Toc117503074"/>
      <w:r>
        <w:t>Beneficial ownership information</w:t>
      </w:r>
      <w:bookmarkEnd w:id="212"/>
    </w:p>
    <w:p w14:paraId="0B27F2F4" w14:textId="77777777" w:rsidR="00EC6B4B" w:rsidRDefault="001305B9">
      <w:pPr>
        <w:pStyle w:val="Para"/>
        <w:rPr>
          <w:rFonts w:ascii="Cambria" w:hAnsi="Cambria"/>
        </w:rPr>
      </w:pPr>
      <w:r>
        <w:rPr>
          <w:rFonts w:eastAsia="Cambria"/>
        </w:rPr>
        <w:t>Recommendation 24 requires countries to ensure that there is adequate, accurate and up-to-date information available on the beneficial ownership and control of legal persons.</w:t>
      </w:r>
      <w:r>
        <w:rPr>
          <w:rStyle w:val="FootnoteReference"/>
        </w:rPr>
        <w:footnoteReference w:id="25"/>
      </w:r>
      <w:r>
        <w:rPr>
          <w:rFonts w:eastAsia="Cambria"/>
        </w:rPr>
        <w:t xml:space="preserve"> A beneficial owner is defined as follows in the Glossary to the FATF Recommendations.</w:t>
      </w:r>
      <w:r>
        <w:rPr>
          <w:rStyle w:val="FootnoteReference"/>
          <w:rFonts w:ascii="Cambria" w:hAnsi="Cambria"/>
        </w:rPr>
        <w:footnoteReference w:id="26"/>
      </w:r>
    </w:p>
    <w:tbl>
      <w:tblPr>
        <w:tblStyle w:val="TableGrid"/>
        <w:tblW w:w="9309" w:type="dxa"/>
        <w:jc w:val="center"/>
        <w:tblBorders>
          <w:top w:val="single" w:sz="6" w:space="0" w:color="4E81BD" w:themeColor="accent1"/>
          <w:left w:val="single" w:sz="6" w:space="0" w:color="4E81BD" w:themeColor="accent1"/>
          <w:bottom w:val="single" w:sz="6" w:space="0" w:color="4E81BD" w:themeColor="accent1"/>
          <w:right w:val="single" w:sz="6" w:space="0" w:color="4E81BD" w:themeColor="accent1"/>
          <w:insideH w:val="single" w:sz="6" w:space="0" w:color="4E81BD" w:themeColor="accent1"/>
          <w:insideV w:val="single" w:sz="6"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EC6B4B" w14:paraId="4F87F79D" w14:textId="77777777">
        <w:trPr>
          <w:jc w:val="center"/>
        </w:trPr>
        <w:tc>
          <w:tcPr>
            <w:tcW w:w="9309" w:type="dxa"/>
            <w:shd w:val="clear" w:color="auto" w:fill="EEECE1" w:themeFill="accent3"/>
          </w:tcPr>
          <w:p w14:paraId="16A02B0C" w14:textId="77777777" w:rsidR="00EC6B4B" w:rsidRDefault="001305B9">
            <w:pPr>
              <w:pStyle w:val="Caption"/>
              <w:keepNext w:val="0"/>
              <w:spacing w:line="320" w:lineRule="exact"/>
              <w:rPr>
                <w:b w:val="0"/>
              </w:rPr>
            </w:pPr>
            <w:r>
              <w:t>Box </w:t>
            </w:r>
            <w:r>
              <w:rPr>
                <w:b w:val="0"/>
                <w:noProof/>
              </w:rPr>
              <w:fldChar w:fldCharType="begin"/>
            </w:r>
            <w:r>
              <w:rPr>
                <w:noProof/>
              </w:rPr>
              <w:instrText xml:space="preserve"> SEQ Box \* ARABIC </w:instrText>
            </w:r>
            <w:r>
              <w:rPr>
                <w:b w:val="0"/>
                <w:noProof/>
              </w:rPr>
              <w:fldChar w:fldCharType="separate"/>
            </w:r>
            <w:r w:rsidR="00CF7A67">
              <w:rPr>
                <w:noProof/>
              </w:rPr>
              <w:t>2</w:t>
            </w:r>
            <w:r>
              <w:rPr>
                <w:b w:val="0"/>
                <w:noProof/>
              </w:rPr>
              <w:fldChar w:fldCharType="end"/>
            </w:r>
            <w:r>
              <w:t>. Definition of ‘beneficial owner’</w:t>
            </w:r>
          </w:p>
          <w:p w14:paraId="19A02BE0" w14:textId="77777777" w:rsidR="00EC6B4B" w:rsidRDefault="001305B9">
            <w:pPr>
              <w:pStyle w:val="BoxHeading"/>
              <w:spacing w:before="180"/>
              <w:jc w:val="both"/>
              <w:rPr>
                <w:i/>
                <w:iCs/>
              </w:rPr>
            </w:pPr>
            <w:r>
              <w:rPr>
                <w:i/>
                <w:iCs/>
              </w:rPr>
              <w:t>Beneficial owner refers to the natural person(s) who ultimately70 owns or controls a customer71 and/or the natural person on whose behalf a transaction is being conducted. It also includes those natural persons who exercise ultimate effective control over a legal person or arrangement. Only a natural person can be an ultimate beneficial owner, and more than one natural person can be the ultimate beneficial owner of a given legal person or arrangement.72</w:t>
            </w:r>
          </w:p>
          <w:p w14:paraId="30BFF2EA" w14:textId="77777777" w:rsidR="00EC6B4B" w:rsidRDefault="001305B9">
            <w:pPr>
              <w:pStyle w:val="BoxHeading"/>
              <w:spacing w:before="180"/>
              <w:jc w:val="both"/>
              <w:rPr>
                <w:i/>
                <w:iCs/>
              </w:rPr>
            </w:pPr>
            <w:r>
              <w:rPr>
                <w:i/>
                <w:iCs/>
              </w:rPr>
              <w:t>70 – Reference to “ultimately owns or controls” and “ultimate effective control” refer to situations in which ownership/control is exercised through a chain of ownership or by means of control other than direct control.</w:t>
            </w:r>
          </w:p>
          <w:p w14:paraId="4ED6B9DF" w14:textId="77777777" w:rsidR="00EC6B4B" w:rsidRDefault="001305B9">
            <w:pPr>
              <w:pStyle w:val="BoxHeading"/>
              <w:spacing w:before="180"/>
              <w:jc w:val="both"/>
              <w:rPr>
                <w:i/>
                <w:iCs/>
              </w:rPr>
            </w:pPr>
            <w:r>
              <w:rPr>
                <w:i/>
                <w:iCs/>
              </w:rPr>
              <w:t>71 – This definition should also apply to beneficial owner of a beneficiary under a life or other investment linked insurance policy.</w:t>
            </w:r>
          </w:p>
          <w:p w14:paraId="1EA58910" w14:textId="77777777" w:rsidR="00EC6B4B" w:rsidRDefault="001305B9">
            <w:pPr>
              <w:pStyle w:val="BoxHeading"/>
              <w:spacing w:before="180"/>
              <w:jc w:val="both"/>
            </w:pPr>
            <w:r>
              <w:rPr>
                <w:i/>
                <w:iCs/>
              </w:rPr>
              <w:t>72 – The ultimate beneficial owner is always one or more natural persons. As set out in R.10, in the context of CDD it may not be possible to verify the identity of such persons through reasonable measures, and, to the extent that there is doubt about whether a person with a controlling ownership interest in a legal person is the ultimate beneficial owner, or where no natural person exerts control through ownership interests, the identity should be determined of the natural persons (if any) exercising control of the legal person or arrangement through other means. Where no natural person is identified in that role, the natural person who holds the position of senior managing official should be identified and recorded as holding this position. This provision of R.10 does not amend or supersede the definition of who the beneficial owner</w:t>
            </w:r>
          </w:p>
        </w:tc>
      </w:tr>
    </w:tbl>
    <w:p w14:paraId="2E3322D8" w14:textId="6CEADD48" w:rsidR="00EC6B4B" w:rsidRDefault="001305B9">
      <w:pPr>
        <w:pStyle w:val="Para"/>
      </w:pPr>
      <w:r>
        <w:rPr>
          <w:rFonts w:eastAsia="Cambria"/>
        </w:rPr>
        <w:t xml:space="preserve">Beneficial ownership information of legal persons is the information on the identities </w:t>
      </w:r>
      <w:r w:rsidR="00574A6D">
        <w:rPr>
          <w:rFonts w:eastAsia="Cambria"/>
        </w:rPr>
        <w:t xml:space="preserve">of </w:t>
      </w:r>
      <w:r>
        <w:rPr>
          <w:rFonts w:eastAsia="Cambria"/>
        </w:rPr>
        <w:t xml:space="preserve">and </w:t>
      </w:r>
      <w:r w:rsidR="00574A6D">
        <w:rPr>
          <w:rFonts w:eastAsia="Cambria"/>
        </w:rPr>
        <w:t>nature</w:t>
      </w:r>
      <w:r>
        <w:rPr>
          <w:rFonts w:eastAsia="Cambria"/>
        </w:rPr>
        <w:t xml:space="preserve"> of the control exercised over a legal person </w:t>
      </w:r>
      <w:r w:rsidR="00574A6D">
        <w:rPr>
          <w:rFonts w:eastAsia="Cambria"/>
        </w:rPr>
        <w:t>by</w:t>
      </w:r>
      <w:r>
        <w:rPr>
          <w:rFonts w:eastAsia="Cambria"/>
        </w:rPr>
        <w:t>:</w:t>
      </w:r>
    </w:p>
    <w:p w14:paraId="7ACC8604" w14:textId="77777777" w:rsidR="00EC6B4B" w:rsidRDefault="001305B9">
      <w:pPr>
        <w:pStyle w:val="ListParagraph"/>
        <w:numPr>
          <w:ilvl w:val="0"/>
          <w:numId w:val="21"/>
        </w:numPr>
        <w:autoSpaceDE w:val="0"/>
        <w:autoSpaceDN w:val="0"/>
        <w:spacing w:before="120" w:after="120"/>
      </w:pPr>
      <w:r>
        <w:rPr>
          <w:bCs/>
        </w:rPr>
        <w:t>The natural</w:t>
      </w:r>
      <w:r>
        <w:rPr>
          <w:spacing w:val="1"/>
        </w:rPr>
        <w:t xml:space="preserve"> </w:t>
      </w:r>
      <w:r>
        <w:t>person(s)</w:t>
      </w:r>
      <w:r>
        <w:rPr>
          <w:spacing w:val="1"/>
        </w:rPr>
        <w:t xml:space="preserve"> </w:t>
      </w:r>
      <w:r>
        <w:t>who</w:t>
      </w:r>
      <w:r>
        <w:rPr>
          <w:spacing w:val="1"/>
        </w:rPr>
        <w:t xml:space="preserve"> </w:t>
      </w:r>
      <w:r>
        <w:t>ultimately</w:t>
      </w:r>
      <w:r>
        <w:rPr>
          <w:spacing w:val="1"/>
        </w:rPr>
        <w:t xml:space="preserve"> </w:t>
      </w:r>
      <w:r>
        <w:t>have</w:t>
      </w:r>
      <w:r>
        <w:rPr>
          <w:spacing w:val="1"/>
        </w:rPr>
        <w:t xml:space="preserve"> </w:t>
      </w:r>
      <w:r>
        <w:t>a</w:t>
      </w:r>
      <w:r>
        <w:rPr>
          <w:spacing w:val="1"/>
        </w:rPr>
        <w:t xml:space="preserve"> </w:t>
      </w:r>
      <w:r>
        <w:t>controlling</w:t>
      </w:r>
      <w:r>
        <w:rPr>
          <w:spacing w:val="-2"/>
        </w:rPr>
        <w:t xml:space="preserve"> </w:t>
      </w:r>
      <w:r>
        <w:t>ownership</w:t>
      </w:r>
      <w:r>
        <w:rPr>
          <w:spacing w:val="-4"/>
        </w:rPr>
        <w:t xml:space="preserve"> </w:t>
      </w:r>
      <w:r>
        <w:t>interest</w:t>
      </w:r>
      <w:r>
        <w:rPr>
          <w:spacing w:val="-4"/>
        </w:rPr>
        <w:t xml:space="preserve"> </w:t>
      </w:r>
      <w:r>
        <w:t>in</w:t>
      </w:r>
      <w:r>
        <w:rPr>
          <w:spacing w:val="-1"/>
        </w:rPr>
        <w:t xml:space="preserve"> </w:t>
      </w:r>
      <w:r>
        <w:t>a</w:t>
      </w:r>
      <w:r>
        <w:rPr>
          <w:spacing w:val="-1"/>
        </w:rPr>
        <w:t xml:space="preserve"> </w:t>
      </w:r>
      <w:r>
        <w:t>legal person, if any</w:t>
      </w:r>
      <w:r>
        <w:rPr>
          <w:rStyle w:val="FootnoteReference"/>
        </w:rPr>
        <w:footnoteReference w:id="27"/>
      </w:r>
      <w:r>
        <w:t>; and</w:t>
      </w:r>
      <w:r>
        <w:tab/>
      </w:r>
    </w:p>
    <w:p w14:paraId="133E4795" w14:textId="77777777" w:rsidR="00EC6B4B" w:rsidRDefault="001305B9">
      <w:pPr>
        <w:pStyle w:val="ListParagraph"/>
        <w:numPr>
          <w:ilvl w:val="0"/>
          <w:numId w:val="21"/>
        </w:numPr>
        <w:autoSpaceDE w:val="0"/>
        <w:autoSpaceDN w:val="0"/>
        <w:spacing w:before="120" w:after="120"/>
        <w:rPr>
          <w:bCs/>
        </w:rPr>
      </w:pPr>
      <w:r>
        <w:rPr>
          <w:bCs/>
        </w:rPr>
        <w:t>The natural persons exercising ultimate effective control over the legal person through other means than ownership interests, if any.</w:t>
      </w:r>
    </w:p>
    <w:p w14:paraId="574CE9FB" w14:textId="77777777" w:rsidR="00EC6B4B" w:rsidRDefault="001305B9">
      <w:pPr>
        <w:pStyle w:val="Para"/>
      </w:pPr>
      <w:r>
        <w:t xml:space="preserve">In </w:t>
      </w:r>
      <w:r>
        <w:rPr>
          <w:rFonts w:eastAsia="Cambria"/>
        </w:rPr>
        <w:t>situations</w:t>
      </w:r>
      <w:r>
        <w:t xml:space="preserve"> where a beneficial owner cannot be identified, the Glossary sets out that reporting entities </w:t>
      </w:r>
      <w:r>
        <w:rPr>
          <w:rFonts w:eastAsia="Cambria"/>
        </w:rPr>
        <w:t>identify</w:t>
      </w:r>
      <w:r>
        <w:t xml:space="preserve"> a natural person who holds the position of senior managing official and record him/her as holding this position (as per R.10). As clarified in the Glossary, this provision of R.10 does not amend or supersede the definition of who the beneficial owner is, but sets out how CDD should be conducted in situations where no beneficial owner can be identified. This should apply to all applicable approaches in collecting BO information (see section 5 on multi-pronged approach).</w:t>
      </w:r>
    </w:p>
    <w:p w14:paraId="3CB92DA2" w14:textId="77777777" w:rsidR="00EC6B4B" w:rsidRDefault="001305B9">
      <w:pPr>
        <w:pStyle w:val="Para"/>
      </w:pPr>
      <w:r>
        <w:t>When collecting beneficial ownership information, reasonable measures should be taken to verify the identity(ies) of such persons, and their status as a beneficial owner (see section 7 on accurate information).</w:t>
      </w:r>
      <w:r>
        <w:rPr>
          <w:rStyle w:val="FootnoteReference"/>
        </w:rPr>
        <w:footnoteReference w:id="28"/>
      </w:r>
      <w:r>
        <w:t xml:space="preserve"> A risk-based approach should be adopted in determining the reasonableness of the verification measures (see section 7 on verification measures).</w:t>
      </w:r>
    </w:p>
    <w:p w14:paraId="27186576" w14:textId="77777777" w:rsidR="00EC6B4B" w:rsidRDefault="001305B9">
      <w:pPr>
        <w:pStyle w:val="Heading2"/>
      </w:pPr>
      <w:bookmarkStart w:id="213" w:name="_Toc117503075"/>
      <w:r>
        <w:t>Distinction between legal ownership and beneficial ownership</w:t>
      </w:r>
      <w:bookmarkEnd w:id="213"/>
    </w:p>
    <w:p w14:paraId="6DF92FE3" w14:textId="77777777" w:rsidR="00EC6B4B" w:rsidRDefault="001305B9">
      <w:pPr>
        <w:pStyle w:val="Para"/>
      </w:pPr>
      <w:r>
        <w:t>Legal ownership and beneficial ownership over a legal person are two separate concepts. A natural person may be considered a beneficial owner on the basis that they are the ultimate owner/controller of a legal person, either through their ownership interests or through exercising ultimate effective control through other means. While legal ownership and beneficial ownership can overlap, the legal title or controlling shareholding of a company may be in a name of an individual or a legal person other than the beneficial owner who ultimately controls the entity, directly or indirectly. Accordingly, individuals who exercise ultimate control over a legal person should be identified as beneficial owners, regardless of whether they own shares above any specified minimum ownership threshold.</w:t>
      </w:r>
    </w:p>
    <w:p w14:paraId="0BAF175F" w14:textId="77777777" w:rsidR="00EC6B4B" w:rsidRDefault="001305B9">
      <w:pPr>
        <w:pStyle w:val="Para"/>
      </w:pPr>
      <w:r>
        <w:t>Countries should consider various types of ownership interests and ways to exercise control over a legal person that exists within their jurisdiction, pursuant to commercial and administrative law, including voting rights, economic rights, convertible stock or outstanding debt that is convertible into voting equity. They should also consider ownership interests and ways to exercise control as the two aspects may have evolved in practice.</w:t>
      </w:r>
    </w:p>
    <w:p w14:paraId="57204D62" w14:textId="77777777" w:rsidR="00EC6B4B" w:rsidRDefault="001305B9">
      <w:pPr>
        <w:pStyle w:val="Heading2"/>
      </w:pPr>
      <w:bookmarkStart w:id="214" w:name="_Toc117503076"/>
      <w:r>
        <w:t>Beneficial ownership through ownership interests</w:t>
      </w:r>
      <w:bookmarkEnd w:id="214"/>
      <w:r>
        <w:t xml:space="preserve"> </w:t>
      </w:r>
    </w:p>
    <w:p w14:paraId="0D459972" w14:textId="77777777" w:rsidR="00EC6B4B" w:rsidRDefault="001305B9">
      <w:pPr>
        <w:pStyle w:val="Para"/>
      </w:pPr>
      <w:r>
        <w:t xml:space="preserve">Countries may use an ownership threshold to determine beneficial ownership based on ownership interests, e.g. any natural persons whose direct or indirect ownership reaches a certain percentage of shares in a company. Such a threshold should not exceed a maximum of 25%. </w:t>
      </w:r>
    </w:p>
    <w:p w14:paraId="421C7305" w14:textId="77777777" w:rsidR="00EC6B4B" w:rsidRDefault="001305B9">
      <w:pPr>
        <w:pStyle w:val="Para"/>
      </w:pPr>
      <w:r>
        <w:t xml:space="preserve">Considerations for determining an appropriate minimum threshold for reporting requirements may include the level of ML/TF risk posed by the relevant type of legal person, sector of operation, complexity of ownership/control structure, among other possible risk factors. A risk assessment would not be needed for each application of a threshold on a case-by-case basis. A higher ML/TF risk could signal the need for a lower ownership threshold as one possible measure to mitigate such risks (see section 3 risk assessment). In order to avoid leaving a disclosure regime vulnerable to loopholes, low thresholds could enable authorities to capture more information on those with ownership or control over corporate vehicles, while also increasing identification efforts.  </w:t>
      </w:r>
    </w:p>
    <w:p w14:paraId="58756107" w14:textId="77777777" w:rsidR="00EC6B4B" w:rsidRDefault="001305B9">
      <w:pPr>
        <w:pStyle w:val="Para"/>
      </w:pPr>
      <w:r>
        <w:t>Risk factors should be identified through a risk assessment of legal persons, based on the ML/TF threats and vulnerabilities to which that jurisdiction is exposed (see section 3 on risk assessment).</w:t>
      </w:r>
      <w:r>
        <w:rPr>
          <w:rStyle w:val="FootnoteReference"/>
        </w:rPr>
        <w:footnoteReference w:id="29"/>
      </w:r>
      <w:r>
        <w:t xml:space="preserve"> Specific risk factors vary based on a jurisdiction’s legal framework, the quality of enforcement of AML/CFT regulations, the quality of supervision of FIs and DNFBPs (especially, TCSPs), and sectoral and geographical risks, among others. Under some circumstances, the results of the risk assessment may lead countries to apply different thresholds e.g. across different sectors of the economy or for different types of legal persons.  </w:t>
      </w:r>
    </w:p>
    <w:p w14:paraId="2A183E0F" w14:textId="77777777" w:rsidR="00EC6B4B" w:rsidRDefault="001305B9">
      <w:pPr>
        <w:pStyle w:val="Para"/>
      </w:pPr>
      <w:r>
        <w:t xml:space="preserve">The following are examples of considerations that countries may consider when setting domestic regulation regarding threshold: </w:t>
      </w:r>
    </w:p>
    <w:p w14:paraId="7F118A3B" w14:textId="77777777" w:rsidR="00EC6B4B" w:rsidRDefault="001305B9">
      <w:pPr>
        <w:pStyle w:val="ListParagraph"/>
        <w:numPr>
          <w:ilvl w:val="1"/>
          <w:numId w:val="22"/>
        </w:numPr>
        <w:autoSpaceDE w:val="0"/>
        <w:autoSpaceDN w:val="0"/>
        <w:spacing w:before="120" w:after="120"/>
        <w:contextualSpacing w:val="0"/>
      </w:pPr>
      <w:r>
        <w:t>Known trends of opaque ownership/control structures: e.g. through use of nominee directors and/or nominee shareholders</w:t>
      </w:r>
      <w:r>
        <w:rPr>
          <w:rStyle w:val="FootnoteReference"/>
        </w:rPr>
        <w:footnoteReference w:id="30"/>
      </w:r>
      <w:r>
        <w:t>, including foreign corporate shareholders, especially when part of a longer chain of opaque corporate entities.</w:t>
      </w:r>
    </w:p>
    <w:p w14:paraId="5EF0EFE5" w14:textId="77777777" w:rsidR="00EC6B4B" w:rsidRDefault="001305B9">
      <w:pPr>
        <w:pStyle w:val="ListParagraph"/>
        <w:numPr>
          <w:ilvl w:val="1"/>
          <w:numId w:val="22"/>
        </w:numPr>
        <w:autoSpaceDE w:val="0"/>
        <w:autoSpaceDN w:val="0"/>
        <w:spacing w:before="120" w:after="120"/>
        <w:contextualSpacing w:val="0"/>
      </w:pPr>
      <w:r>
        <w:t>Known trends of complex multi-jurisdictional structures: e.g. structures involving corporate shareholders, assets, and/or nominees which are all split across different jurisdictions</w:t>
      </w:r>
      <w:r>
        <w:rPr>
          <w:rStyle w:val="FootnoteReference"/>
        </w:rPr>
        <w:footnoteReference w:id="31"/>
      </w:r>
      <w:r>
        <w:t xml:space="preserve"> can be high risk because they can ‘slip through the cracks’ of national-level regulation, supervision, and law enforcement. Such structures are sometimes designed precisely with the aim of evading regulations and obscuring the beneficial owner.</w:t>
      </w:r>
    </w:p>
    <w:p w14:paraId="5C3004C6" w14:textId="77777777" w:rsidR="00EC6B4B" w:rsidRDefault="001305B9">
      <w:pPr>
        <w:pStyle w:val="ListParagraph"/>
        <w:numPr>
          <w:ilvl w:val="1"/>
          <w:numId w:val="22"/>
        </w:numPr>
        <w:autoSpaceDE w:val="0"/>
        <w:autoSpaceDN w:val="0"/>
        <w:spacing w:before="120" w:after="120"/>
        <w:contextualSpacing w:val="0"/>
      </w:pPr>
      <w:r>
        <w:t>Sectoral risk factors: ML/TF risks factors can be concentrated in specific sectors given the prevalence of predicate offences, e.g. extractive activities (such as oil and gas), public procurement, real estate, and wildlife trade.</w:t>
      </w:r>
    </w:p>
    <w:p w14:paraId="3933FEF1" w14:textId="77777777" w:rsidR="00EC6B4B" w:rsidRDefault="001305B9">
      <w:pPr>
        <w:pStyle w:val="ListParagraph"/>
        <w:numPr>
          <w:ilvl w:val="1"/>
          <w:numId w:val="22"/>
        </w:numPr>
        <w:autoSpaceDE w:val="0"/>
        <w:autoSpaceDN w:val="0"/>
        <w:spacing w:before="120" w:after="120"/>
        <w:contextualSpacing w:val="0"/>
      </w:pPr>
      <w:r>
        <w:t>Known trends in relation to misuse of legal entities e.g. pass-through entities (of which the business income is treated as personal income of the owners); operational or non-operational (domiciliary) companies; shell companies with no independent operations, significant assets, ongoing business activities, or employees.</w:t>
      </w:r>
      <w:r>
        <w:rPr>
          <w:rStyle w:val="FootnoteReference"/>
        </w:rPr>
        <w:footnoteReference w:id="32"/>
      </w:r>
      <w:r>
        <w:t xml:space="preserve"> </w:t>
      </w:r>
    </w:p>
    <w:p w14:paraId="1AC82351" w14:textId="77777777" w:rsidR="00EC6B4B" w:rsidRDefault="001305B9">
      <w:pPr>
        <w:pStyle w:val="ListParagraph"/>
        <w:numPr>
          <w:ilvl w:val="1"/>
          <w:numId w:val="22"/>
        </w:numPr>
        <w:autoSpaceDE w:val="0"/>
        <w:autoSpaceDN w:val="0"/>
        <w:spacing w:before="120" w:after="120"/>
        <w:contextualSpacing w:val="0"/>
      </w:pPr>
      <w:r>
        <w:t>Known risks of entities owned or controlled by domestic or foreign politically exposed persons (PEPs).</w:t>
      </w:r>
    </w:p>
    <w:p w14:paraId="0AFFA402" w14:textId="77777777" w:rsidR="00EC6B4B" w:rsidRDefault="001305B9">
      <w:pPr>
        <w:pStyle w:val="Para"/>
      </w:pPr>
      <w:r>
        <w:t>Ownership interests may be held directly or indirectly, for example through a chain of corporate vehicles or through nominee shareholders. More than one natural person can be a beneficial owner of a given legal person, based on ownership interests above a minimum threshold. For example, if a 20% threshold is adopted, five individuals each owning 20% of shares would all be considered beneficial owners</w:t>
      </w:r>
    </w:p>
    <w:p w14:paraId="0C43A271" w14:textId="77777777" w:rsidR="00EC6B4B" w:rsidRDefault="001305B9">
      <w:pPr>
        <w:pStyle w:val="Para"/>
      </w:pPr>
      <w:r>
        <w:t xml:space="preserve">Sometimes, ownership interests can be so diversified that there is no single shareholder, whether acting alone or together with other shareholders, who exercises control of the legal person through ownership. For example, if a threshold of 20% is adopted (based on the jurisdiction’s assessment of risk), a company with as few as six shareholders can have no shareholder owning a share above the minimum threshold, then no shareholder would fall under the reporting requirements based only on the application of an ownership threshold. </w:t>
      </w:r>
    </w:p>
    <w:p w14:paraId="19BB87FE" w14:textId="77777777" w:rsidR="00EC6B4B" w:rsidRDefault="001305B9">
      <w:pPr>
        <w:pStyle w:val="Para"/>
        <w:rPr>
          <w:rFonts w:ascii="Cambria" w:hAnsi="Cambria"/>
          <w:color w:val="000000"/>
        </w:rPr>
      </w:pPr>
      <w:r>
        <w:t>Shareholders may exercise control on the company based on their ownership alone or together with other shareholders, including through any contract, understanding, relationship, intermediary or tiered entity. Shareholders may collaborate to increase the level of control through formal or informal agreements, or through the use of nominee shareholders</w:t>
      </w:r>
      <w:r>
        <w:rPr>
          <w:rFonts w:ascii="Cambria" w:hAnsi="Cambria"/>
        </w:rPr>
        <w:t>.</w:t>
      </w:r>
      <w:r>
        <w:rPr>
          <w:rStyle w:val="FootnoteReference"/>
          <w:rFonts w:ascii="Cambria" w:hAnsi="Cambria"/>
        </w:rPr>
        <w:footnoteReference w:id="33"/>
      </w:r>
      <w:r>
        <w:rPr>
          <w:rFonts w:ascii="Cambria" w:hAnsi="Cambria"/>
        </w:rPr>
        <w:t xml:space="preserve"> </w:t>
      </w:r>
    </w:p>
    <w:p w14:paraId="4A5CE4ED" w14:textId="77777777" w:rsidR="00EC6B4B" w:rsidRDefault="001305B9">
      <w:pPr>
        <w:pStyle w:val="Para"/>
      </w:pPr>
      <w:r>
        <w:t>Countries should prioritise clarity and practicality in the implementation of the concept of ownership</w:t>
      </w:r>
      <w:r>
        <w:rPr>
          <w:spacing w:val="1"/>
        </w:rPr>
        <w:t xml:space="preserve"> </w:t>
      </w:r>
      <w:r>
        <w:t>interest to determine beneficial ownership, and apply rules that are workable and enforceable for companies and other legal persons administered</w:t>
      </w:r>
      <w:r>
        <w:rPr>
          <w:spacing w:val="-1"/>
        </w:rPr>
        <w:t xml:space="preserve"> </w:t>
      </w:r>
      <w:r>
        <w:t>in</w:t>
      </w:r>
      <w:r>
        <w:rPr>
          <w:spacing w:val="-1"/>
        </w:rPr>
        <w:t xml:space="preserve"> </w:t>
      </w:r>
      <w:r>
        <w:t>a</w:t>
      </w:r>
      <w:r>
        <w:rPr>
          <w:spacing w:val="-1"/>
        </w:rPr>
        <w:t xml:space="preserve"> </w:t>
      </w:r>
      <w:r>
        <w:t>country.</w:t>
      </w:r>
    </w:p>
    <w:p w14:paraId="68C74724" w14:textId="77777777" w:rsidR="00EC6B4B" w:rsidRDefault="001305B9">
      <w:pPr>
        <w:pStyle w:val="Heading2"/>
      </w:pPr>
      <w:bookmarkStart w:id="215" w:name="_Toc117503077"/>
      <w:r>
        <w:t>Beneficial Ownership through Control/Other Means (“beyond the threshold”)</w:t>
      </w:r>
      <w:bookmarkEnd w:id="215"/>
    </w:p>
    <w:p w14:paraId="40011143" w14:textId="77777777" w:rsidR="00EC6B4B" w:rsidRDefault="001305B9">
      <w:pPr>
        <w:pStyle w:val="Para"/>
      </w:pPr>
      <w:r>
        <w:t>The application of an ownership threshold is not the only way that beneficial ownership should be determined under the FATF definition, which encompasses both concepts of ownership and control over a legal person. The following considerations may also be relevant:</w:t>
      </w:r>
    </w:p>
    <w:p w14:paraId="0400015F" w14:textId="77777777" w:rsidR="00EC6B4B" w:rsidRDefault="001305B9">
      <w:pPr>
        <w:pStyle w:val="BodyText"/>
        <w:tabs>
          <w:tab w:val="left" w:pos="1457"/>
        </w:tabs>
        <w:spacing w:before="120" w:after="120"/>
        <w:ind w:right="218"/>
        <w:jc w:val="both"/>
        <w:rPr>
          <w:rFonts w:ascii="Times New Roman" w:hAnsi="Times New Roman" w:cs="Times New Roman"/>
        </w:rPr>
      </w:pPr>
      <w:r>
        <w:rPr>
          <w:rFonts w:ascii="Times New Roman" w:hAnsi="Times New Roman" w:cs="Times New Roman"/>
          <w:b/>
        </w:rPr>
        <w:t>Differential voting rights</w:t>
      </w:r>
      <w:r>
        <w:rPr>
          <w:rFonts w:ascii="Times New Roman" w:hAnsi="Times New Roman" w:cs="Times New Roman"/>
        </w:rPr>
        <w:t>: Different classes of shares may give certain shareholders more control than others, for example through differential voting rights. Thus, even a shareholding that falls well below a specified threshold may in fact give a minority shareholder control over the company. Recent reforms in some jurisdictions (UK, Singapore, Hong Kong, China) have made such dual class share arrangements more common.</w:t>
      </w:r>
    </w:p>
    <w:p w14:paraId="0F415EAD" w14:textId="77777777" w:rsidR="00EC6B4B" w:rsidRDefault="001305B9">
      <w:pPr>
        <w:pStyle w:val="BodyText"/>
        <w:tabs>
          <w:tab w:val="left" w:pos="1457"/>
        </w:tabs>
        <w:spacing w:before="120" w:after="120"/>
        <w:ind w:right="218"/>
        <w:jc w:val="both"/>
        <w:rPr>
          <w:rFonts w:ascii="Times New Roman" w:hAnsi="Times New Roman" w:cs="Times New Roman"/>
        </w:rPr>
      </w:pPr>
      <w:r>
        <w:rPr>
          <w:rFonts w:ascii="Times New Roman" w:hAnsi="Times New Roman" w:cs="Times New Roman"/>
          <w:b/>
        </w:rPr>
        <w:t>Power to appoint the majority of senior management</w:t>
      </w:r>
      <w:r>
        <w:rPr>
          <w:rFonts w:ascii="Times New Roman" w:hAnsi="Times New Roman" w:cs="Times New Roman"/>
        </w:rPr>
        <w:t>: Control over a legal person may be exercised if an individual has the power to appoint the majority of</w:t>
      </w:r>
      <w:r>
        <w:rPr>
          <w:rFonts w:ascii="Times New Roman" w:hAnsi="Times New Roman" w:cs="Times New Roman"/>
          <w:b/>
        </w:rPr>
        <w:t xml:space="preserve"> </w:t>
      </w:r>
      <w:r>
        <w:rPr>
          <w:rFonts w:ascii="Times New Roman" w:hAnsi="Times New Roman" w:cs="Times New Roman"/>
        </w:rPr>
        <w:t>senior management directly or indirectly (e.g. if the power is vested in a company which in turn is wholly owned by an individual). However, the right of minority shareholders or certain stakeholders to appoint one representative to senior management does not by itself confer control over a legal person.</w:t>
      </w:r>
    </w:p>
    <w:p w14:paraId="59D9B90F" w14:textId="77777777" w:rsidR="00EC6B4B" w:rsidRDefault="001305B9">
      <w:pPr>
        <w:spacing w:before="120" w:after="120"/>
        <w:rPr>
          <w:iCs/>
          <w:u w:val="single"/>
        </w:rPr>
      </w:pPr>
      <w:r>
        <w:rPr>
          <w:b/>
          <w:iCs/>
        </w:rPr>
        <w:t>Control through debt instruments</w:t>
      </w:r>
      <w:r>
        <w:rPr>
          <w:iCs/>
        </w:rPr>
        <w:t xml:space="preserve">: </w:t>
      </w:r>
      <w:r>
        <w:t>Control can also be exercised through debt instruments or other financing arrangements, for example where a lender or creditor can control a legal person via the provisions of the lending agreement (such as debt that is convertible into voting equity), or by a third party who can otherwise influence a shareholder by means of a financial or other relationship. However, a bank providing financing to a legal person will rarely be considered as exercising control over the legal person by the act per se.</w:t>
      </w:r>
    </w:p>
    <w:p w14:paraId="109D66B8" w14:textId="77777777" w:rsidR="00EC6B4B" w:rsidRDefault="001305B9">
      <w:pPr>
        <w:spacing w:before="120" w:after="120"/>
        <w:rPr>
          <w:iCs/>
        </w:rPr>
      </w:pPr>
      <w:bookmarkStart w:id="216" w:name="OTHER_MEASURES_TO_ENHANCING_TRANSPARENCY"/>
      <w:bookmarkEnd w:id="216"/>
      <w:r>
        <w:rPr>
          <w:b/>
          <w:bCs/>
          <w:iCs/>
        </w:rPr>
        <w:t>Control through positions held within a legal person:</w:t>
      </w:r>
      <w:r>
        <w:rPr>
          <w:iCs/>
        </w:rPr>
        <w:t xml:space="preserve"> Natural persons who exercise substantial control over a legal person and are </w:t>
      </w:r>
      <w:r>
        <w:rPr>
          <w:rFonts w:eastAsia="Cambria"/>
          <w:iCs/>
        </w:rPr>
        <w:t>responsible for strategic decisions that fundamentally affect the business practices or general direction of the legal person may be considered a beneficial owner under some circumstances. Depending on the legal person and the country’s laws, directors may or may not take an active role in exercising control over the affairs of the entity.</w:t>
      </w:r>
      <w:r>
        <w:rPr>
          <w:iCs/>
        </w:rPr>
        <w:t xml:space="preserve"> </w:t>
      </w:r>
    </w:p>
    <w:p w14:paraId="017A5466" w14:textId="77777777" w:rsidR="00EC6B4B" w:rsidRDefault="001305B9">
      <w:pPr>
        <w:spacing w:before="120" w:after="120"/>
      </w:pPr>
      <w:r>
        <w:rPr>
          <w:b/>
          <w:bCs/>
          <w:iCs/>
        </w:rPr>
        <w:t>Control through informal means:</w:t>
      </w:r>
      <w:r>
        <w:rPr>
          <w:iCs/>
        </w:rPr>
        <w:t xml:space="preserve"> Furthermore, control over a legal person may be exercised through informal means, such as through close personal connections to relatives or associates. Further, when an individual is using, enjoying or benefiting from the assets owned by the legal person, it could be grounds for further investigation if such individual is in the condition to exercise control over the legal person.</w:t>
      </w:r>
      <w:r>
        <w:rPr>
          <w:rStyle w:val="FootnoteReference"/>
        </w:rPr>
        <w:footnoteReference w:id="34"/>
      </w:r>
      <w:r>
        <w:t xml:space="preserve"> However,</w:t>
      </w:r>
      <w:r>
        <w:rPr>
          <w:iCs/>
        </w:rPr>
        <w:t xml:space="preserve"> these cases are harder to detect and will in practice be less relevant with routine collection of beneficial ownership information by a registry, agency, or other body.</w:t>
      </w:r>
    </w:p>
    <w:p w14:paraId="4D047F55" w14:textId="77777777" w:rsidR="00EC6B4B" w:rsidRDefault="001305B9">
      <w:pPr>
        <w:pStyle w:val="Heading2"/>
      </w:pPr>
      <w:bookmarkStart w:id="217" w:name="_Toc117503078"/>
      <w:r>
        <w:t>Beneficial ownership in respect of different types of legal persons</w:t>
      </w:r>
      <w:bookmarkEnd w:id="217"/>
    </w:p>
    <w:p w14:paraId="4095B526" w14:textId="77777777" w:rsidR="00EC6B4B" w:rsidRDefault="001305B9">
      <w:pPr>
        <w:pStyle w:val="BodyText"/>
        <w:tabs>
          <w:tab w:val="left" w:pos="1457"/>
        </w:tabs>
        <w:spacing w:before="120" w:after="120"/>
        <w:ind w:right="215"/>
        <w:jc w:val="both"/>
        <w:rPr>
          <w:rFonts w:ascii="Times New Roman" w:hAnsi="Times New Roman" w:cs="Times New Roman"/>
        </w:rPr>
      </w:pPr>
      <w:r>
        <w:rPr>
          <w:rFonts w:ascii="Times New Roman" w:hAnsi="Times New Roman" w:cs="Times New Roman"/>
          <w:b/>
        </w:rPr>
        <w:t>Companies without shares</w:t>
      </w:r>
      <w:r>
        <w:rPr>
          <w:rFonts w:ascii="Times New Roman" w:hAnsi="Times New Roman" w:cs="Times New Roman"/>
        </w:rPr>
        <w:t>: Beneficial owners of companies that do not issue shares will not be captured by any ownership threshold expressed in share ownership. This includes for example non-stock companies in the United States, or companies limited by guarantee in Britain. These types of companies are commonly used by not-for-profit entities, but they can also be used by for-profit entities. Furthermore, companies may be able to switch from stock to non-stock, or vice versa. In some cases, companies without shares have been marketed by TCSPs as a means to defeat beneficial ownership disclosure and tax rules applicable to a foreign company that is either directly or indirectly controlled by a resident taxpayer (generally known as Controlled Foreign Company). These entities would require an alternative approach (in looking into control of the entity) for determination of beneficial ownership through ownership</w:t>
      </w:r>
      <w:r>
        <w:rPr>
          <w:rFonts w:ascii="Times New Roman" w:hAnsi="Times New Roman" w:cs="Times New Roman"/>
          <w:iCs/>
        </w:rPr>
        <w:t>.</w:t>
      </w:r>
    </w:p>
    <w:p w14:paraId="4A534CDE" w14:textId="77777777" w:rsidR="00EC6B4B" w:rsidRDefault="001305B9">
      <w:pPr>
        <w:pStyle w:val="BodyText"/>
        <w:tabs>
          <w:tab w:val="left" w:pos="1457"/>
        </w:tabs>
        <w:spacing w:before="120" w:after="120"/>
        <w:ind w:right="215"/>
        <w:jc w:val="both"/>
        <w:rPr>
          <w:rFonts w:ascii="Times New Roman" w:hAnsi="Times New Roman" w:cs="Times New Roman"/>
        </w:rPr>
      </w:pPr>
      <w:r>
        <w:rPr>
          <w:rFonts w:ascii="Times New Roman" w:hAnsi="Times New Roman" w:cs="Times New Roman"/>
          <w:b/>
          <w:iCs/>
        </w:rPr>
        <w:t>Partnerships</w:t>
      </w:r>
      <w:r>
        <w:rPr>
          <w:rFonts w:ascii="Times New Roman" w:hAnsi="Times New Roman" w:cs="Times New Roman"/>
          <w:iCs/>
        </w:rPr>
        <w:t xml:space="preserve">: </w:t>
      </w:r>
      <w:r>
        <w:rPr>
          <w:rFonts w:ascii="Times New Roman" w:hAnsi="Times New Roman" w:cs="Times New Roman"/>
          <w:lang w:val="en-GB"/>
        </w:rPr>
        <w:t xml:space="preserve">Limited and unlimited liability partnerships have legal personality distinct from their partners, but in some countries, they do not have shares and are thus not captured by any share threshold. In some countries (e.g. British Virgin Islands) those forming a partnership can choose whether or not the partnership will have legal personality. In the absence of a share threshold, an individual can have control over a partnership if he/she has the right to exercise (or actually exercises), significant influence over the running of the activities of the partnership. This could include, for example, the right </w:t>
      </w:r>
      <w:r>
        <w:rPr>
          <w:rFonts w:ascii="Times New Roman" w:hAnsi="Times New Roman" w:cs="Times New Roman"/>
        </w:rPr>
        <w:t>to appoint or remove any partner</w:t>
      </w:r>
      <w:r>
        <w:rPr>
          <w:rFonts w:ascii="Times New Roman" w:hAnsi="Times New Roman" w:cs="Times New Roman"/>
          <w:lang w:val="en-GB"/>
        </w:rPr>
        <w:t xml:space="preserve">, </w:t>
      </w:r>
      <w:r>
        <w:rPr>
          <w:rFonts w:ascii="Times New Roman" w:hAnsi="Times New Roman" w:cs="Times New Roman"/>
        </w:rPr>
        <w:t xml:space="preserve">to direct or veto the </w:t>
      </w:r>
      <w:r>
        <w:rPr>
          <w:rFonts w:ascii="Times New Roman" w:hAnsi="Times New Roman" w:cs="Times New Roman"/>
          <w:lang w:val="en-GB"/>
        </w:rPr>
        <w:t xml:space="preserve">investment decisions, </w:t>
      </w:r>
      <w:r>
        <w:rPr>
          <w:rFonts w:ascii="Times New Roman" w:hAnsi="Times New Roman" w:cs="Times New Roman"/>
        </w:rPr>
        <w:t>profit share or capital returns of the partnership’s funds or assets</w:t>
      </w:r>
      <w:r>
        <w:rPr>
          <w:rFonts w:ascii="Times New Roman" w:hAnsi="Times New Roman" w:cs="Times New Roman"/>
          <w:lang w:val="en-GB"/>
        </w:rPr>
        <w:t xml:space="preserve">, </w:t>
      </w:r>
      <w:r>
        <w:rPr>
          <w:rFonts w:ascii="Times New Roman" w:hAnsi="Times New Roman" w:cs="Times New Roman"/>
        </w:rPr>
        <w:t xml:space="preserve">to </w:t>
      </w:r>
      <w:r>
        <w:rPr>
          <w:rFonts w:ascii="Times New Roman" w:hAnsi="Times New Roman" w:cs="Times New Roman"/>
          <w:lang w:val="en-GB"/>
        </w:rPr>
        <w:t xml:space="preserve">direct </w:t>
      </w:r>
      <w:r>
        <w:rPr>
          <w:rFonts w:ascii="Times New Roman" w:hAnsi="Times New Roman" w:cs="Times New Roman"/>
        </w:rPr>
        <w:t>amendments to the partnership’s constitutional documents (</w:t>
      </w:r>
      <w:r>
        <w:rPr>
          <w:rFonts w:ascii="Times New Roman" w:hAnsi="Times New Roman" w:cs="Times New Roman"/>
          <w:lang w:val="en-GB"/>
        </w:rPr>
        <w:t>e.g.</w:t>
      </w:r>
      <w:r>
        <w:rPr>
          <w:rFonts w:ascii="Times New Roman" w:hAnsi="Times New Roman" w:cs="Times New Roman"/>
        </w:rPr>
        <w:t xml:space="preserve"> the partnership agreement</w:t>
      </w:r>
      <w:r>
        <w:rPr>
          <w:rFonts w:ascii="Times New Roman" w:hAnsi="Times New Roman" w:cs="Times New Roman"/>
          <w:lang w:val="en-GB"/>
        </w:rPr>
        <w:t>) or to dissolve or convert the partnership.</w:t>
      </w:r>
      <w:r>
        <w:rPr>
          <w:rFonts w:ascii="Times New Roman" w:hAnsi="Times New Roman" w:cs="Times New Roman"/>
        </w:rPr>
        <w:t xml:space="preserve"> </w:t>
      </w:r>
    </w:p>
    <w:p w14:paraId="78B8C739" w14:textId="77777777" w:rsidR="00EC6B4B" w:rsidRDefault="001305B9">
      <w:pPr>
        <w:pStyle w:val="BodyText"/>
        <w:tabs>
          <w:tab w:val="left" w:pos="1457"/>
        </w:tabs>
        <w:spacing w:before="120" w:after="120"/>
        <w:ind w:right="215"/>
        <w:jc w:val="both"/>
      </w:pPr>
      <w:r>
        <w:rPr>
          <w:rFonts w:ascii="Times New Roman" w:hAnsi="Times New Roman" w:cs="Times New Roman"/>
          <w:b/>
          <w:bCs/>
        </w:rPr>
        <w:t xml:space="preserve">Foundations:  </w:t>
      </w:r>
      <w:r>
        <w:rPr>
          <w:rFonts w:ascii="Times New Roman" w:hAnsi="Times New Roman" w:cs="Times New Roman"/>
          <w:lang w:val="en-GB"/>
        </w:rPr>
        <w:t>A variety of other legal persons have legal personality but are not companies and do not have shares, and hence will not be captured by any share threshold. This requires an alternative approach (in looking into control of the entity) for determination of beneficial ownership. For example, foundations have no owners and are controlled by a board. Where foundations are similar to trusts, individuals holding the positions of founders, beneficiaries and members of the management may be considered to exercise control over the foundation.</w:t>
      </w:r>
      <w:r>
        <w:rPr>
          <w:color w:val="FF0000"/>
          <w:lang w:val="en-GB"/>
        </w:rPr>
        <w:t xml:space="preserve"> </w:t>
      </w:r>
      <w:r>
        <w:rPr>
          <w:rFonts w:ascii="Times New Roman" w:hAnsi="Times New Roman" w:cs="Times New Roman"/>
          <w:lang w:val="en-GB"/>
        </w:rPr>
        <w:t>Furthermore, an individual can have control if he/she has the right to exercise (or actually exercises) significant influence over the running of the activities of the foundation. This could include, for example, the right to appoint or remove any of the board members, to direct or veto the distribution of the foundation funds or assets or its investment decisions, to wind up or convert the foundation.</w:t>
      </w:r>
    </w:p>
    <w:p w14:paraId="63BFC918" w14:textId="77777777" w:rsidR="00EC6B4B" w:rsidRDefault="001305B9">
      <w:pPr>
        <w:pStyle w:val="Heading1"/>
      </w:pPr>
      <w:bookmarkStart w:id="218" w:name="_Toc117503079"/>
      <w:r>
        <w:t>A multi-pronged approach to beneficial ownership information</w:t>
      </w:r>
      <w:bookmarkEnd w:id="218"/>
      <w:r>
        <w:t xml:space="preserve">  </w:t>
      </w:r>
    </w:p>
    <w:p w14:paraId="4F92936E" w14:textId="77777777" w:rsidR="00EC6B4B" w:rsidRDefault="001305B9">
      <w:pPr>
        <w:pStyle w:val="Para"/>
      </w:pPr>
      <w:r>
        <w:t>Countries’ experience shown in FATF mutual evaluations suggested that a multi-pronged approach using several sources of information is more effective than using a single approach in preventing the misuse of legal persons for criminal purposes and implementing beneficial ownership transparency measures</w:t>
      </w:r>
      <w:r>
        <w:rPr>
          <w:rStyle w:val="FootnoteReference"/>
        </w:rPr>
        <w:footnoteReference w:id="35"/>
      </w:r>
      <w:r>
        <w:t xml:space="preserve">, as the different approaches supplement each other and lead ultimately to better quality information. A variety and availability of sources enhances access to information and helps mitigate accuracy problems with individual sources. </w:t>
      </w:r>
    </w:p>
    <w:p w14:paraId="452ECA83" w14:textId="77777777" w:rsidR="00EC6B4B" w:rsidRDefault="001305B9">
      <w:pPr>
        <w:pStyle w:val="Para"/>
      </w:pPr>
      <w:r>
        <w:t>The core of a multi-pronged approach combines information held and/or supplied by companies themselves and information held by, or on behalf of, public authorities in a registry, or alternative mechanism if it ensures rapid and efficient access to beneficial ownership information for competent authorities, and any additional measure as necessary. The three pillars of ensuring that beneficial ownership information is adequate, accurate and up-to-date are equally important, and none should be prioritised at the expense of the other. To effectively implement the multi-pronged approach, it is important to ensure that the responsibilities of various parties are clear.</w:t>
      </w:r>
    </w:p>
    <w:p w14:paraId="2F1BDE7B" w14:textId="77777777" w:rsidR="00EC6B4B" w:rsidRDefault="001305B9">
      <w:pPr>
        <w:pStyle w:val="Para"/>
      </w:pPr>
      <w:r>
        <w:t>Following the revision to Recommendation 24 in March 2022, the standards provide for a multi-pronged approach including as a minimum (1) a company approach and (2) a registry or alternative mechanism, and 3) any other supplementary sources of information, as necessary, commensurate to the risks faced by the jurisdiction. Under the multi-pronged approach, the use of CDD information obtained</w:t>
      </w:r>
      <w:r>
        <w:rPr>
          <w:spacing w:val="1"/>
        </w:rPr>
        <w:t xml:space="preserve"> </w:t>
      </w:r>
      <w:r>
        <w:t>and</w:t>
      </w:r>
      <w:r>
        <w:rPr>
          <w:spacing w:val="1"/>
        </w:rPr>
        <w:t xml:space="preserve"> </w:t>
      </w:r>
      <w:r>
        <w:t>maintained</w:t>
      </w:r>
      <w:r>
        <w:rPr>
          <w:spacing w:val="1"/>
        </w:rPr>
        <w:t xml:space="preserve"> </w:t>
      </w:r>
      <w:r>
        <w:t>by</w:t>
      </w:r>
      <w:r>
        <w:rPr>
          <w:spacing w:val="1"/>
        </w:rPr>
        <w:t xml:space="preserve"> FI</w:t>
      </w:r>
      <w:r>
        <w:t>s/DNFBPs</w:t>
      </w:r>
      <w:r>
        <w:rPr>
          <w:spacing w:val="1"/>
        </w:rPr>
        <w:t xml:space="preserve"> </w:t>
      </w:r>
      <w:r>
        <w:t>pursuant</w:t>
      </w:r>
      <w:r>
        <w:rPr>
          <w:spacing w:val="1"/>
        </w:rPr>
        <w:t xml:space="preserve"> </w:t>
      </w:r>
      <w:r>
        <w:t>to</w:t>
      </w:r>
      <w:r>
        <w:rPr>
          <w:spacing w:val="1"/>
        </w:rPr>
        <w:t xml:space="preserve"> </w:t>
      </w:r>
      <w:r>
        <w:t>Recommendations 10 and 22, as an alternative mechanism or additional supplementary measure is further described in sections 11 and 12. Supplementary information could also include basic and beneficial ownership information held by regulators or stock exchanges. Countries may decide the precise measures in their national systems based on their own context, materiality and risks.</w:t>
      </w:r>
    </w:p>
    <w:p w14:paraId="5B32D4D2" w14:textId="77777777" w:rsidR="00EC6B4B" w:rsidRDefault="001305B9">
      <w:pPr>
        <w:pStyle w:val="Para"/>
      </w:pPr>
      <w:r>
        <w:t xml:space="preserve">Countries could consider enabling competent authorities involved in collecting beneficial ownership information to be able to access and exchange information on beneficial ownership. Countries are also encouraged to extend this access and exchange of information to other sources of beneficial ownership information to further strengthen cross-checking and verification. Countries may consider extending these responsibilities further beyond simply identifying errors in and improving the quality of basic and beneficial ownership information, and be used to help inform the national understanding of current and emerging risks. </w:t>
      </w:r>
    </w:p>
    <w:p w14:paraId="481B68B6" w14:textId="77777777" w:rsidR="00EC6B4B" w:rsidRDefault="001305B9">
      <w:pPr>
        <w:pStyle w:val="Para"/>
      </w:pPr>
      <w:r>
        <w:t>In addition, countries should also ensure adequate powers to compel the production of financial records and obtain evidence in the context of an investigation</w:t>
      </w:r>
      <w:r>
        <w:rPr>
          <w:rStyle w:val="FootnoteReference"/>
        </w:rPr>
        <w:footnoteReference w:id="36"/>
      </w:r>
      <w:r>
        <w:t>, which enables authorities to determine in a timely manner whether a company has or controls accounts with a financial institution within the country.</w:t>
      </w:r>
    </w:p>
    <w:p w14:paraId="5E8CE196" w14:textId="77777777" w:rsidR="00EC6B4B" w:rsidRDefault="001305B9">
      <w:pPr>
        <w:pStyle w:val="Heading1"/>
      </w:pPr>
      <w:bookmarkStart w:id="219" w:name="_Toc117503080"/>
      <w:r>
        <w:t>Adequate beneficial ownership information</w:t>
      </w:r>
      <w:bookmarkEnd w:id="219"/>
      <w:r>
        <w:t xml:space="preserve"> </w:t>
      </w:r>
    </w:p>
    <w:p w14:paraId="5DB71EAB" w14:textId="77777777" w:rsidR="00EC6B4B" w:rsidRDefault="001305B9">
      <w:pPr>
        <w:pStyle w:val="Para"/>
        <w:rPr>
          <w:rFonts w:ascii="Cambria" w:eastAsia="Cambria" w:hAnsi="Cambria" w:cs="Cambria"/>
        </w:rPr>
      </w:pPr>
      <w:r>
        <w:t>The Interpretive Note to Recommendation 24 requires countries to have mechanisms in place that ensure that basic information and beneficial ownership information is adequate, including information provided to the company registry and any available information referred to in paragraph 7 of the Interpretive Note to Recommendation 24</w:t>
      </w:r>
      <w:r>
        <w:rPr>
          <w:rStyle w:val="FootnoteReference"/>
          <w:rFonts w:ascii="Cambria" w:eastAsia="Cambria" w:hAnsi="Cambria" w:cs="Cambria"/>
        </w:rPr>
        <w:footnoteReference w:id="37"/>
      </w:r>
      <w:r>
        <w:rPr>
          <w:rFonts w:ascii="Cambria" w:eastAsia="Cambria" w:hAnsi="Cambria" w:cs="Cambria"/>
        </w:rPr>
        <w:t xml:space="preserve">. </w:t>
      </w:r>
    </w:p>
    <w:tbl>
      <w:tblPr>
        <w:tblStyle w:val="TableGrid"/>
        <w:tblW w:w="9309" w:type="dxa"/>
        <w:jc w:val="center"/>
        <w:tblBorders>
          <w:top w:val="single" w:sz="6" w:space="0" w:color="4E81BD" w:themeColor="accent1"/>
          <w:left w:val="single" w:sz="6" w:space="0" w:color="4E81BD" w:themeColor="accent1"/>
          <w:bottom w:val="single" w:sz="6" w:space="0" w:color="4E81BD" w:themeColor="accent1"/>
          <w:right w:val="single" w:sz="6" w:space="0" w:color="4E81BD" w:themeColor="accent1"/>
          <w:insideH w:val="single" w:sz="6" w:space="0" w:color="4E81BD" w:themeColor="accent1"/>
          <w:insideV w:val="single" w:sz="6"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EC6B4B" w14:paraId="4069BE5A" w14:textId="77777777">
        <w:trPr>
          <w:jc w:val="center"/>
        </w:trPr>
        <w:tc>
          <w:tcPr>
            <w:tcW w:w="9309" w:type="dxa"/>
            <w:shd w:val="clear" w:color="auto" w:fill="EEECE1" w:themeFill="accent3"/>
          </w:tcPr>
          <w:p w14:paraId="55206488" w14:textId="77777777" w:rsidR="00EC6B4B" w:rsidRDefault="001305B9">
            <w:pPr>
              <w:pStyle w:val="Caption"/>
              <w:keepNext w:val="0"/>
              <w:spacing w:line="320" w:lineRule="exact"/>
              <w:rPr>
                <w:b w:val="0"/>
              </w:rPr>
            </w:pPr>
            <w:r>
              <w:t>Box </w:t>
            </w:r>
            <w:r>
              <w:rPr>
                <w:b w:val="0"/>
                <w:noProof/>
              </w:rPr>
              <w:fldChar w:fldCharType="begin"/>
            </w:r>
            <w:r>
              <w:rPr>
                <w:noProof/>
              </w:rPr>
              <w:instrText xml:space="preserve"> SEQ Box \* ARABIC </w:instrText>
            </w:r>
            <w:r>
              <w:rPr>
                <w:b w:val="0"/>
                <w:noProof/>
              </w:rPr>
              <w:fldChar w:fldCharType="separate"/>
            </w:r>
            <w:r w:rsidR="00CF7A67">
              <w:rPr>
                <w:noProof/>
              </w:rPr>
              <w:t>3</w:t>
            </w:r>
            <w:r>
              <w:rPr>
                <w:b w:val="0"/>
                <w:noProof/>
              </w:rPr>
              <w:fldChar w:fldCharType="end"/>
            </w:r>
            <w:r>
              <w:t>. “Adequate” information in the FATF Recommendations</w:t>
            </w:r>
          </w:p>
          <w:p w14:paraId="56BD8A26" w14:textId="285850DF" w:rsidR="00EC6B4B" w:rsidRDefault="001305B9">
            <w:pPr>
              <w:pStyle w:val="BoxHeading2"/>
              <w:rPr>
                <w:rFonts w:ascii="Times New Roman" w:hAnsi="Times New Roman"/>
                <w:i w:val="0"/>
                <w:color w:val="auto"/>
                <w:sz w:val="20"/>
              </w:rPr>
            </w:pPr>
            <w:r>
              <w:rPr>
                <w:rFonts w:ascii="Times New Roman" w:hAnsi="Times New Roman"/>
                <w:i w:val="0"/>
                <w:color w:val="auto"/>
                <w:sz w:val="20"/>
              </w:rPr>
              <w:t xml:space="preserve">Adequate information is information that is sufficient to identify the natural person(s) who are the beneficial owner(s), and the means and mechanisms through </w:t>
            </w:r>
            <w:r w:rsidR="00512FD9">
              <w:rPr>
                <w:rFonts w:ascii="Times New Roman" w:hAnsi="Times New Roman"/>
                <w:i w:val="0"/>
                <w:color w:val="auto"/>
                <w:sz w:val="20"/>
              </w:rPr>
              <w:t xml:space="preserve">which they exercise </w:t>
            </w:r>
            <w:r>
              <w:rPr>
                <w:rFonts w:ascii="Times New Roman" w:hAnsi="Times New Roman"/>
                <w:i w:val="0"/>
                <w:color w:val="auto"/>
                <w:sz w:val="20"/>
              </w:rPr>
              <w:t>ownership</w:t>
            </w:r>
            <w:r w:rsidR="00512FD9">
              <w:rPr>
                <w:rFonts w:ascii="Times New Roman" w:hAnsi="Times New Roman"/>
                <w:i w:val="0"/>
                <w:color w:val="auto"/>
                <w:sz w:val="20"/>
              </w:rPr>
              <w:t xml:space="preserve"> or</w:t>
            </w:r>
            <w:r>
              <w:rPr>
                <w:rFonts w:ascii="Times New Roman" w:hAnsi="Times New Roman"/>
                <w:i w:val="0"/>
                <w:color w:val="auto"/>
                <w:sz w:val="20"/>
              </w:rPr>
              <w:t xml:space="preserve"> control.</w:t>
            </w:r>
          </w:p>
        </w:tc>
      </w:tr>
    </w:tbl>
    <w:p w14:paraId="33B867C6" w14:textId="77777777" w:rsidR="00EC6B4B" w:rsidRDefault="001305B9">
      <w:pPr>
        <w:pStyle w:val="Para"/>
      </w:pPr>
      <w:r>
        <w:t>With regard to the identity of the natural person who is the beneficial owner, the Interpretive Note provides examples of information</w:t>
      </w:r>
      <w:r>
        <w:rPr>
          <w:rStyle w:val="FootnoteReference"/>
        </w:rPr>
        <w:footnoteReference w:id="38"/>
      </w:r>
      <w:r>
        <w:t>, which countries should consider recording. While the Interpretive Note to Recommendation 24 does not provide any qualification or ranking of the above mentioned information, some information may be considered as necessary in order to identify a person (e.g. first and last name, nationality(ies) and date of birth), while other  information may be useful to further confirm the identity of a person, such as a unique national identification number (e.g. an internal administration number, a tax registration number, an identity number or a social security number), passport number and document type, place of birth and residential address, and the tax identification number or equivalent in the country of residence.</w:t>
      </w:r>
    </w:p>
    <w:p w14:paraId="4471F20B" w14:textId="77777777" w:rsidR="00EC6B4B" w:rsidRDefault="001305B9">
      <w:pPr>
        <w:pStyle w:val="Para"/>
      </w:pPr>
      <w:r>
        <w:t xml:space="preserve">Similarly, with regard to the means and mechanisms through which the natural person(s) exercises beneficial ownership (whether through ownership or control), some information may be considered as necessary in order to identify such means and mechanisms (e.g. type of participation, voting rights or control through other means) and the scope (e.g. an indication of percentage of shares, voting rights or other form of control) of the beneficial interest. Other information that may be useful to further confirm such means and mechanisms could include information on more than one form of beneficial ownership (e.g. through both ownership and control, if applicable), information on legal intermediaries or legal entities involved in the chain (i.e. those controlled directly by the beneficial owners); information on whether the beneficial owner is involved in any nominee relationship (see section 15 on nominees); and information on whether the beneficial owner’s interest in the legal person is held directly or indirectly. </w:t>
      </w:r>
    </w:p>
    <w:p w14:paraId="625F650A" w14:textId="77777777" w:rsidR="00EC6B4B" w:rsidRDefault="001305B9">
      <w:pPr>
        <w:pStyle w:val="Para"/>
        <w:rPr>
          <w:color w:val="FF0000"/>
        </w:rPr>
      </w:pPr>
      <w:r>
        <w:t>In relation to foundations and comparable legal persons, countries may consider recording the relevant position/role (e.g. founder, beneficiary and member of the management) of the natural person(s).</w:t>
      </w:r>
    </w:p>
    <w:p w14:paraId="00B410B2" w14:textId="77777777" w:rsidR="00EC6B4B" w:rsidRDefault="001305B9">
      <w:pPr>
        <w:pStyle w:val="Heading1"/>
      </w:pPr>
      <w:bookmarkStart w:id="220" w:name="_Toc117503081"/>
      <w:bookmarkStart w:id="221" w:name="_Hlk114519985"/>
      <w:r>
        <w:t>Accurate information – means of verification of beneficial ownership information</w:t>
      </w:r>
      <w:bookmarkEnd w:id="220"/>
      <w:r>
        <w:t xml:space="preserve"> </w:t>
      </w:r>
    </w:p>
    <w:p w14:paraId="16F12AE6" w14:textId="77777777" w:rsidR="00EC6B4B" w:rsidRDefault="001305B9">
      <w:pPr>
        <w:pStyle w:val="Para"/>
      </w:pPr>
      <w:r>
        <w:t xml:space="preserve">Following the identification of the beneficial owners, this information should be verified. Verification is a combination of checks and other processes that a country should adopt at the various stages to ensure that the beneficial ownership data is accurate (INR.24 para 9). Verification applies to all prongs of the multi-pronged approach, and there are some principles that would apply to all prongs, which are described below. Verification may require professional expertise and the means of verification would depend on the approach in holding beneficial ownership information. The objective should be that the overall mechanisms established by a country ensure accuracy of beneficial ownership information and provide a degree in consistency of information across different sources. </w:t>
      </w:r>
    </w:p>
    <w:p w14:paraId="3D076FCE" w14:textId="77777777" w:rsidR="00EC6B4B" w:rsidRDefault="001305B9">
      <w:pPr>
        <w:pStyle w:val="Para"/>
      </w:pPr>
      <w:r>
        <w:t>Verification of the beneficial ownership information could typically involve a review of documents submitted (e.g. share certificates, shareholder register, board meeting resolutions, and power of attorney documents). Verifying beneficial ownership information could also include, depending on the level of risk, manual or automated cross-checks with relevant government/other available databases.</w:t>
      </w:r>
    </w:p>
    <w:p w14:paraId="6159044B" w14:textId="77777777" w:rsidR="00EC6B4B" w:rsidRDefault="001305B9">
      <w:pPr>
        <w:pStyle w:val="Para"/>
      </w:pPr>
      <w:r>
        <w:t>Verification of beneficial owners may take place during various processes, depending on the approach to holding beneficial ownership information, although each approach that countries choose as part of the multi-pronged approach should include verification:</w:t>
      </w:r>
    </w:p>
    <w:p w14:paraId="2F069A4C" w14:textId="77777777" w:rsidR="00EC6B4B" w:rsidRDefault="001305B9">
      <w:pPr>
        <w:pStyle w:val="ListParagraph"/>
        <w:numPr>
          <w:ilvl w:val="1"/>
          <w:numId w:val="23"/>
        </w:numPr>
        <w:autoSpaceDE w:val="0"/>
        <w:autoSpaceDN w:val="0"/>
        <w:spacing w:before="123"/>
        <w:contextualSpacing w:val="0"/>
        <w:rPr>
          <w:rFonts w:eastAsia="Cambria"/>
        </w:rPr>
      </w:pPr>
      <w:r>
        <w:rPr>
          <w:rFonts w:eastAsia="Cambria"/>
        </w:rPr>
        <w:t>By companies under the companies approach (see section 9)</w:t>
      </w:r>
    </w:p>
    <w:p w14:paraId="2B5A226A" w14:textId="77777777" w:rsidR="00EC6B4B" w:rsidRDefault="001305B9">
      <w:pPr>
        <w:pStyle w:val="ListParagraph"/>
        <w:numPr>
          <w:ilvl w:val="1"/>
          <w:numId w:val="23"/>
        </w:numPr>
        <w:autoSpaceDE w:val="0"/>
        <w:autoSpaceDN w:val="0"/>
        <w:spacing w:before="123"/>
        <w:contextualSpacing w:val="0"/>
        <w:rPr>
          <w:rFonts w:eastAsia="Cambria"/>
        </w:rPr>
      </w:pPr>
      <w:r>
        <w:rPr>
          <w:rFonts w:eastAsia="Cambria"/>
        </w:rPr>
        <w:t>By authority(ies) or body(ies) responsible for the beneficial owner register under the registry approach (see section 10)</w:t>
      </w:r>
    </w:p>
    <w:p w14:paraId="3BE6F6F4" w14:textId="77777777" w:rsidR="00EC6B4B" w:rsidRDefault="001305B9">
      <w:pPr>
        <w:pStyle w:val="ListParagraph"/>
        <w:numPr>
          <w:ilvl w:val="1"/>
          <w:numId w:val="23"/>
        </w:numPr>
        <w:autoSpaceDE w:val="0"/>
        <w:autoSpaceDN w:val="0"/>
        <w:spacing w:before="123"/>
        <w:contextualSpacing w:val="0"/>
        <w:rPr>
          <w:rFonts w:eastAsia="Cambria"/>
        </w:rPr>
      </w:pPr>
      <w:r>
        <w:rPr>
          <w:rFonts w:eastAsia="Cambria"/>
        </w:rPr>
        <w:t>By entities responsible for providing beneficial ownership information under the alternative mechanism (see section 11)</w:t>
      </w:r>
    </w:p>
    <w:p w14:paraId="269CBC31" w14:textId="77777777" w:rsidR="00EC6B4B" w:rsidRDefault="001305B9">
      <w:pPr>
        <w:pStyle w:val="ListParagraph"/>
        <w:numPr>
          <w:ilvl w:val="1"/>
          <w:numId w:val="23"/>
        </w:numPr>
        <w:autoSpaceDE w:val="0"/>
        <w:autoSpaceDN w:val="0"/>
        <w:spacing w:before="123"/>
        <w:contextualSpacing w:val="0"/>
      </w:pPr>
      <w:r>
        <w:t xml:space="preserve">By entities </w:t>
      </w:r>
      <w:r>
        <w:rPr>
          <w:rFonts w:eastAsia="Cambria"/>
        </w:rPr>
        <w:t>involved</w:t>
      </w:r>
      <w:r>
        <w:t xml:space="preserve"> in any additional supplementary measures that are necessary to ensure that the beneficial ownership of a company can be determined, including e.g. information held by regulators or stock exchanges; or obtained by FIs and DNFBPs in accordance with Recommendations 10 and 22 (see section 12)</w:t>
      </w:r>
    </w:p>
    <w:p w14:paraId="65EC7D90" w14:textId="77777777" w:rsidR="00EC6B4B" w:rsidRDefault="001305B9">
      <w:pPr>
        <w:pStyle w:val="Para"/>
      </w:pPr>
      <w:r>
        <w:t xml:space="preserve">Whereas the means of verification may vary for each prong, it is important that the criteria for identifying a beneficial owner applied to the different prongs are consistent with relevant applicable requirements (in particular those applied to CDD pursuant to Recommendation 10 or 22). Depending on the countries’ specific level of risks, verification measures may comprise the following two components: </w:t>
      </w:r>
    </w:p>
    <w:p w14:paraId="3C99EE61" w14:textId="77777777" w:rsidR="00EC6B4B" w:rsidRDefault="001305B9">
      <w:pPr>
        <w:pStyle w:val="ListParagraph"/>
        <w:numPr>
          <w:ilvl w:val="1"/>
          <w:numId w:val="24"/>
        </w:numPr>
        <w:autoSpaceDE w:val="0"/>
        <w:autoSpaceDN w:val="0"/>
        <w:spacing w:before="123"/>
        <w:contextualSpacing w:val="0"/>
      </w:pPr>
      <w:r>
        <w:rPr>
          <w:b/>
        </w:rPr>
        <w:t>Verification of identity</w:t>
      </w:r>
      <w:r>
        <w:t xml:space="preserve">: Appropriate steps should be taken to verify the identity of any natural person(s) recorded as a beneficial owner. </w:t>
      </w:r>
    </w:p>
    <w:p w14:paraId="785ADCBF" w14:textId="77777777" w:rsidR="00EC6B4B" w:rsidRDefault="001305B9">
      <w:pPr>
        <w:pStyle w:val="ListParagraph"/>
        <w:numPr>
          <w:ilvl w:val="1"/>
          <w:numId w:val="24"/>
        </w:numPr>
        <w:autoSpaceDE w:val="0"/>
        <w:autoSpaceDN w:val="0"/>
        <w:spacing w:before="123"/>
        <w:contextualSpacing w:val="0"/>
      </w:pPr>
      <w:r>
        <w:rPr>
          <w:b/>
        </w:rPr>
        <w:t>Verification of status:</w:t>
      </w:r>
      <w:r>
        <w:t xml:space="preserve"> Appropriate steps should be taken to verify the basis of identification of a person as a beneficial owner. </w:t>
      </w:r>
    </w:p>
    <w:p w14:paraId="50D37F9A" w14:textId="77777777" w:rsidR="00EC6B4B" w:rsidRDefault="001305B9">
      <w:pPr>
        <w:pStyle w:val="Para"/>
      </w:pPr>
      <w:r>
        <w:t xml:space="preserve">The goal of putting in place a clear mechanism for verification of beneficial ownership information is to reduce risks of inaccurate information and allow enforcement of beneficial ownership reporting rules. However, this does not imply a zero-failure approach. It is a process aimed at increasing confidence that information on ultimate ownership and control is reliable and that obvious errors, falsehoods or inconsistencies are spotted and corrected in a systematic manner. </w:t>
      </w:r>
    </w:p>
    <w:p w14:paraId="5CD3064B" w14:textId="77777777" w:rsidR="00EC6B4B" w:rsidRDefault="001305B9">
      <w:pPr>
        <w:pStyle w:val="Para"/>
      </w:pPr>
      <w:r>
        <w:t xml:space="preserve">Countries should adopt a risk-based approach to verification. In cases of higher risk (e.g. companies with complex structures across multiple jurisdictions, the existence of nominee directors or shareholders, entities identified as high-risk in a risk assessment, entities with a history of reporting inaccurate beneficial ownership information or where sufficient documentation may not be obtained), the extent and/or frequency of verification measures should be enhanced. In other cases, such as a micro company whose legal owner, director and beneficial owner are all the same person, countries may decide, based on risk, that verification measures may be adjusted (e.g. only request verifying identity). </w:t>
      </w:r>
    </w:p>
    <w:p w14:paraId="26A552CD" w14:textId="77777777" w:rsidR="00EC6B4B" w:rsidRDefault="001305B9">
      <w:pPr>
        <w:pStyle w:val="Para"/>
      </w:pPr>
      <w:r>
        <w:t>Enhanced verification mechanisms can also be used to detect inaccuracies in reported BO information and/or deliberate concealment, such as undisclosed nominee relationships. Such checks of a more investigative nature may be conducted by law enforcement authorities in some countries. In countries which require engagement of a professional intermediary for formation of legal persons, regulated professional intermediaries may be required to perform such enhanced checks, where appropriate.</w:t>
      </w:r>
    </w:p>
    <w:p w14:paraId="2F663700" w14:textId="77777777" w:rsidR="00EC6B4B" w:rsidRDefault="001305B9">
      <w:pPr>
        <w:pStyle w:val="Para"/>
      </w:pPr>
      <w:r>
        <w:t>Regardless of the mechanisms used upfront, countries may also require a declaration that the information disclosed at the time of submission is truthful and complete.</w:t>
      </w:r>
      <w:r>
        <w:rPr>
          <w:rStyle w:val="FootnoteReference"/>
        </w:rPr>
        <w:footnoteReference w:id="39"/>
      </w:r>
      <w:r>
        <w:t xml:space="preserve"> While the declaration would put the primary burden of providing truthful information on the party making the submission, this should not replace the various verification efforts by the receiving end of information. </w:t>
      </w:r>
    </w:p>
    <w:p w14:paraId="7F58BB23" w14:textId="77777777" w:rsidR="00EC6B4B" w:rsidRDefault="001305B9">
      <w:pPr>
        <w:pStyle w:val="Heading2"/>
      </w:pPr>
      <w:bookmarkStart w:id="222" w:name="_Toc117503082"/>
      <w:r>
        <w:t>Verification of Identity of the Beneficial Owner</w:t>
      </w:r>
      <w:bookmarkEnd w:id="222"/>
    </w:p>
    <w:p w14:paraId="0A101A24" w14:textId="77777777" w:rsidR="00EC6B4B" w:rsidRDefault="001305B9">
      <w:pPr>
        <w:pStyle w:val="Para"/>
      </w:pPr>
      <w:r>
        <w:t xml:space="preserve">In the identity verification processes appropriate steps should be taken to prove that a natural person, who has been identified as a beneficial owner, actually exists and is who they claim to be, e.g. through a review of government-issued identity documents. An identity is a combination of “attributes” that belong to a person, e.g. name, date of birth and nationality. In order to verify the identity, in cases where there is a suspicion that the evidence of identity has been falsified or stolen, or of presence of any other related risks, steps should be taken to check whether the claimed identity belongs to the person presenting the evidence.  This may entail asking a person to present government-issued evidence of their identity (such as a passport or driver’s licence). Such verification could also be done by an automated exchange of data with a reliable national system such as a residence register, tax register, passport database or electoral information. The verifying party may rely on such an exchange, if it provides the same level of assurance.  </w:t>
      </w:r>
    </w:p>
    <w:p w14:paraId="26C78443" w14:textId="77777777" w:rsidR="00EC6B4B" w:rsidRDefault="001305B9">
      <w:pPr>
        <w:pStyle w:val="Para"/>
      </w:pPr>
      <w:r>
        <w:t xml:space="preserve">When verifying a person’s identity, the robustness of the evidence must be considered. This relates to the amount and reliability of independent source data, document or information provided, and a risk-based approach should apply. For verifying the identity of a beneficial owner located abroad, the receiving end of beneficial ownership information should take steps to verify the authenticity of legal documentation provided from abroad. </w:t>
      </w:r>
    </w:p>
    <w:p w14:paraId="4F29C61F" w14:textId="77777777" w:rsidR="00EC6B4B" w:rsidRDefault="001305B9">
      <w:pPr>
        <w:pStyle w:val="Para"/>
      </w:pPr>
      <w:r>
        <w:t xml:space="preserve">While a person’s identity would not normally vary over their lifetime, the information may require updating upon expiry of identity documents or change of nationality (see section 7 on up-to-date information). In that event, the person has the onus to update the information which should be subject to verification. There should also be sufficient safeguards and data security to ensure that that the verified identity could not be stolen or impersonated (e.g. secured portal).  </w:t>
      </w:r>
    </w:p>
    <w:p w14:paraId="10A26D8E" w14:textId="77777777" w:rsidR="00EC6B4B" w:rsidRDefault="001305B9">
      <w:pPr>
        <w:pStyle w:val="Heading2"/>
      </w:pPr>
      <w:bookmarkStart w:id="223" w:name="_Toc117503083"/>
      <w:r>
        <w:t>Verification of Status of the Beneficial Owner</w:t>
      </w:r>
      <w:bookmarkEnd w:id="223"/>
      <w:r>
        <w:t xml:space="preserve"> </w:t>
      </w:r>
    </w:p>
    <w:p w14:paraId="42518F57" w14:textId="77777777" w:rsidR="00EC6B4B" w:rsidRDefault="001305B9">
      <w:pPr>
        <w:pStyle w:val="Para"/>
      </w:pPr>
      <w:r>
        <w:t xml:space="preserve">Depending on the level of risk, verification of the status of the beneficial owner can include but is not limited to the following elements: </w:t>
      </w:r>
    </w:p>
    <w:p w14:paraId="4DF4E3A2" w14:textId="77777777" w:rsidR="00EC6B4B" w:rsidRDefault="001305B9">
      <w:pPr>
        <w:pStyle w:val="ListParagraph"/>
        <w:numPr>
          <w:ilvl w:val="0"/>
          <w:numId w:val="25"/>
        </w:numPr>
      </w:pPr>
      <w:r>
        <w:t xml:space="preserve">Does the person identified as the beneficial owner have ownership, voting rights or control rights in the legal person, such that they meet the definition of a beneficial owner? </w:t>
      </w:r>
    </w:p>
    <w:p w14:paraId="46CD8E53" w14:textId="77777777" w:rsidR="00EC6B4B" w:rsidRDefault="001305B9">
      <w:pPr>
        <w:pStyle w:val="ListParagraph"/>
        <w:numPr>
          <w:ilvl w:val="0"/>
          <w:numId w:val="25"/>
        </w:numPr>
      </w:pPr>
      <w:r>
        <w:t>Is the person identified as the beneficial owner actually exercising the rights associated with the level of ownership and/or control in practice, in his/her own name or is the person exercising those rights under instruction from, or by agreement with, an undisclosed third party</w:t>
      </w:r>
      <w:r>
        <w:rPr>
          <w:rStyle w:val="FootnoteReference"/>
        </w:rPr>
        <w:footnoteReference w:id="40"/>
      </w:r>
      <w:r>
        <w:t xml:space="preserve">? </w:t>
      </w:r>
    </w:p>
    <w:p w14:paraId="56D9E323" w14:textId="77777777" w:rsidR="00EC6B4B" w:rsidRDefault="001305B9">
      <w:pPr>
        <w:pStyle w:val="ListParagraph"/>
        <w:numPr>
          <w:ilvl w:val="0"/>
          <w:numId w:val="25"/>
        </w:numPr>
      </w:pPr>
      <w:r>
        <w:t>Whether the identified beneficial owners are consistent with the structure and risk profile of the legal person?</w:t>
      </w:r>
    </w:p>
    <w:p w14:paraId="7FEB9F83" w14:textId="77777777" w:rsidR="00EC6B4B" w:rsidRDefault="001305B9">
      <w:pPr>
        <w:pStyle w:val="Para"/>
        <w:rPr>
          <w:rFonts w:eastAsia="Calibri"/>
          <w:b/>
          <w:bCs/>
          <w:lang w:eastAsia="de-AT"/>
        </w:rPr>
      </w:pPr>
      <w:r>
        <w:t>As the status of a beneficial owner may change over time, even down to the nature of control, the information should continue to be verified (instead of simply relying on the checks carried out at the point of incorporation), in line with the requirements for this information to be up-to-date as discussed in section 7 of this guidance. The historical information collected over time would also be useful to national authorities, FIs or DNFBPs (see section below on discrepancy reporting).</w:t>
      </w:r>
      <w:r>
        <w:rPr>
          <w:rFonts w:eastAsia="Calibri"/>
          <w:b/>
          <w:bCs/>
          <w:lang w:eastAsia="de-AT"/>
        </w:rPr>
        <w:tab/>
      </w:r>
    </w:p>
    <w:p w14:paraId="0D5350B7" w14:textId="77777777" w:rsidR="00EC6B4B" w:rsidRDefault="001305B9">
      <w:pPr>
        <w:pStyle w:val="Heading2"/>
      </w:pPr>
      <w:bookmarkStart w:id="224" w:name="_Toc117503084"/>
      <w:r>
        <w:t>Discrepancy Reporting Mechanisms</w:t>
      </w:r>
      <w:bookmarkEnd w:id="224"/>
    </w:p>
    <w:p w14:paraId="504C3427" w14:textId="77777777" w:rsidR="00EC6B4B" w:rsidRDefault="001305B9">
      <w:pPr>
        <w:pStyle w:val="Para"/>
      </w:pPr>
      <w:r>
        <w:t>To support the accuracy of beneficial ownership information, countries may consider putting in place discrepancy reporting mechanisms as a complementary measure on the basis of risk, materiality, and context of the countries. Discrepancy reporting, if applied (most likely in respect of a register/alternative mechanism), should serve to complement the verification measures to various mechanisms outlined above; it should not replace them.</w:t>
      </w:r>
      <w:r>
        <w:rPr>
          <w:rStyle w:val="FootnoteReference"/>
        </w:rPr>
        <w:footnoteReference w:id="41"/>
      </w:r>
      <w:r>
        <w:t xml:space="preserve"> </w:t>
      </w:r>
    </w:p>
    <w:p w14:paraId="16799470" w14:textId="77777777" w:rsidR="00EC6B4B" w:rsidRDefault="001305B9">
      <w:pPr>
        <w:pStyle w:val="Para"/>
      </w:pPr>
      <w:r>
        <w:t>Discrepancy reporting generally allows authorities and entities with access to beneficial ownership data to report to the body holding beneficial ownership information of legal entities if the information the former hold is different from that held by the latter. While discrepancy reporting can help enhance the accuracy and completeness of information on beneficial ownership of legal entities, any of these obligations imposed on the reporting end will give rise to resource implications. Countries can develop processes or procedures to minimise administrative burden in discrepancy reporting to particular situations where there is a potential for reporting by both FIs/DNFBPs and the customer/client.</w:t>
      </w:r>
    </w:p>
    <w:p w14:paraId="51403F1D" w14:textId="77777777" w:rsidR="00EC6B4B" w:rsidRDefault="001305B9">
      <w:pPr>
        <w:pStyle w:val="Para"/>
      </w:pPr>
      <w:r>
        <w:t>As such, when putting in place a discrepancy reporting mechanism, countries may consider the below relevant factors.</w:t>
      </w:r>
    </w:p>
    <w:p w14:paraId="28C21EBE" w14:textId="77777777" w:rsidR="00EC6B4B" w:rsidRDefault="001305B9">
      <w:pPr>
        <w:pStyle w:val="ListParagraph"/>
        <w:numPr>
          <w:ilvl w:val="0"/>
          <w:numId w:val="26"/>
        </w:numPr>
        <w:autoSpaceDE w:val="0"/>
        <w:autoSpaceDN w:val="0"/>
        <w:spacing w:before="120" w:after="120"/>
        <w:ind w:left="1248" w:hanging="624"/>
        <w:contextualSpacing w:val="0"/>
      </w:pPr>
      <w:r>
        <w:rPr>
          <w:b/>
        </w:rPr>
        <w:t>Access by reporting entities to information:</w:t>
      </w:r>
      <w:r>
        <w:t xml:space="preserve"> Parties required to report discrepancies (FIs/DNFBPs or other obliged entities as defined by the country) would need access to the beneficial ownership information held in a registry/alternative mechanism, so that they can report differences (accuracy and completeness) between the registry/alternative mechanism and their client information collected as part of CDD obligations. </w:t>
      </w:r>
    </w:p>
    <w:p w14:paraId="3A222562" w14:textId="77777777" w:rsidR="00EC6B4B" w:rsidRDefault="001305B9">
      <w:pPr>
        <w:pStyle w:val="ListParagraph"/>
        <w:numPr>
          <w:ilvl w:val="0"/>
          <w:numId w:val="26"/>
        </w:numPr>
        <w:autoSpaceDE w:val="0"/>
        <w:autoSpaceDN w:val="0"/>
        <w:spacing w:before="120" w:after="120"/>
        <w:ind w:left="1248" w:hanging="624"/>
        <w:contextualSpacing w:val="0"/>
      </w:pPr>
      <w:r>
        <w:rPr>
          <w:b/>
        </w:rPr>
        <w:t xml:space="preserve">Materiality of discrepancy: </w:t>
      </w:r>
      <w:r>
        <w:t xml:space="preserve">As volume of reported discrepancies may be very high, to optimise the amount of resources used by both reporting entities in filing reports and by receiving end in handling them, countries should clearly define the material threshold for discrepancies which should be reported. For instance, focus is usually put on factual errors, not typing mistakes or spelling errors. </w:t>
      </w:r>
    </w:p>
    <w:p w14:paraId="4B00E995" w14:textId="77777777" w:rsidR="00EC6B4B" w:rsidRDefault="001305B9">
      <w:pPr>
        <w:pStyle w:val="ListParagraph"/>
        <w:numPr>
          <w:ilvl w:val="0"/>
          <w:numId w:val="26"/>
        </w:numPr>
        <w:autoSpaceDE w:val="0"/>
        <w:autoSpaceDN w:val="0"/>
        <w:spacing w:before="120" w:after="120"/>
        <w:ind w:left="1248" w:hanging="624"/>
        <w:contextualSpacing w:val="0"/>
      </w:pPr>
      <w:r>
        <w:rPr>
          <w:b/>
        </w:rPr>
        <w:t>Adjudicating discrepancy reports and feedback system</w:t>
      </w:r>
      <w:r>
        <w:t>: Countries should consider implementing a system to review and adjudicate discrepancy reports in a fair and efficient manner, with emphasis on due process and risk-based approach. Companies and other legal entities should be informed at the appropriate time of the reported discrepancies (with reasons) so that data can be rectified in a timely manner. Upon resolving a difference, countries should consider notifying the reporting entity so that all information would be aligned.</w:t>
      </w:r>
    </w:p>
    <w:p w14:paraId="7D0DCFD1" w14:textId="77777777" w:rsidR="00EC6B4B" w:rsidRDefault="001305B9">
      <w:pPr>
        <w:pStyle w:val="ListParagraph"/>
        <w:numPr>
          <w:ilvl w:val="0"/>
          <w:numId w:val="26"/>
        </w:numPr>
        <w:autoSpaceDE w:val="0"/>
        <w:autoSpaceDN w:val="0"/>
        <w:spacing w:before="120" w:after="120"/>
        <w:ind w:left="1248" w:hanging="624"/>
        <w:contextualSpacing w:val="0"/>
      </w:pPr>
      <w:r>
        <w:rPr>
          <w:b/>
        </w:rPr>
        <w:t xml:space="preserve">Record-keeping: </w:t>
      </w:r>
      <w:r>
        <w:t>Countries should consider properly recording discrepancy reports made (e.g. shown in excerpts of the register/alternative mechanism), so that potential users of this information are aware that this data might not be adequate, accurate or up-to-date. In particular, this information, if made accessible to the competent authorities, could be helpful. From a broader management perspective, countries may consider monitoring the number of discrepancy reports and the reasons for them.</w:t>
      </w:r>
    </w:p>
    <w:p w14:paraId="15EA8B33" w14:textId="77777777" w:rsidR="00EC6B4B" w:rsidRDefault="001305B9">
      <w:pPr>
        <w:pStyle w:val="ListParagraph"/>
        <w:numPr>
          <w:ilvl w:val="0"/>
          <w:numId w:val="26"/>
        </w:numPr>
        <w:autoSpaceDE w:val="0"/>
        <w:autoSpaceDN w:val="0"/>
        <w:spacing w:before="120" w:after="120"/>
        <w:ind w:left="1248" w:hanging="624"/>
        <w:contextualSpacing w:val="0"/>
        <w:rPr>
          <w:rFonts w:ascii="Cambria" w:hAnsi="Cambria"/>
        </w:rPr>
      </w:pPr>
      <w:r>
        <w:rPr>
          <w:b/>
        </w:rPr>
        <w:t xml:space="preserve">Privacy considerations: </w:t>
      </w:r>
      <w:r>
        <w:t>Discrepancy reports very likely would contain personal data. Countries should take into account data privacy laws, client confidentiality, and other relevant concerns when seeking to implement discrepancy reporting mechanisms. For instance, safeguards should be made to prevent data leakage.</w:t>
      </w:r>
      <w:bookmarkEnd w:id="221"/>
    </w:p>
    <w:p w14:paraId="61EAEA2F" w14:textId="77777777" w:rsidR="00EC6B4B" w:rsidRDefault="001305B9">
      <w:pPr>
        <w:pStyle w:val="Heading1"/>
      </w:pPr>
      <w:bookmarkStart w:id="225" w:name="_Toc117503085"/>
      <w:r>
        <w:t>Up-to-date basic and beneficial ownership information</w:t>
      </w:r>
      <w:bookmarkEnd w:id="225"/>
      <w:r>
        <w:t xml:space="preserve"> </w:t>
      </w:r>
    </w:p>
    <w:p w14:paraId="0C26F1EE" w14:textId="77777777" w:rsidR="00EC6B4B" w:rsidRDefault="001305B9">
      <w:pPr>
        <w:pStyle w:val="Para"/>
      </w:pPr>
      <w:r>
        <w:t>The Interpretive Note to Recommendation 24 states that countries should have mechanisms to ensure that basic and beneficial ownership information is as current as possible, and is updated within a reasonable period (e.g. within one month)</w:t>
      </w:r>
      <w:r>
        <w:rPr>
          <w:rStyle w:val="FootnoteReference"/>
        </w:rPr>
        <w:footnoteReference w:id="42"/>
      </w:r>
      <w:r>
        <w:t>, following any change or the identification of outdated information. To avoid ambiguity, countries should establish a clear and practical framework that supports the updating of beneficial ownership information within a reasonable period. The framework should specify the meaning of “a reasonable period” and how the framework will be enforced for each approach used by the country to keep up-to-date beneficial ownership information.</w:t>
      </w:r>
    </w:p>
    <w:p w14:paraId="4D1BFDAB" w14:textId="77777777" w:rsidR="00EC6B4B" w:rsidRDefault="001305B9">
      <w:pPr>
        <w:pStyle w:val="Para"/>
      </w:pPr>
      <w:r>
        <w:t xml:space="preserve">The Standards provide a degree of flexibility to enable countries to determine the appropriate “reasonable period” for updating beneficial ownership information, in accordance with their risk and context, and taking into account their institutional set-up and other domestic circumstances.   </w:t>
      </w:r>
    </w:p>
    <w:p w14:paraId="45DF6A87" w14:textId="77777777" w:rsidR="00EC6B4B" w:rsidRDefault="001305B9">
      <w:pPr>
        <w:pStyle w:val="Para"/>
      </w:pPr>
      <w:r>
        <w:t>Countries may face practical hurdles</w:t>
      </w:r>
      <w:r>
        <w:rPr>
          <w:rStyle w:val="FootnoteReference"/>
        </w:rPr>
        <w:footnoteReference w:id="43"/>
      </w:r>
      <w:r>
        <w:t xml:space="preserve"> in implementing this requirement, and these may warrant the need for more time to ensure that beneficial ownership information is kept up-to-date. These may include specific situations where the BO cannot be clearly identified or contacted quickly (e.g. cases of force majeure</w:t>
      </w:r>
      <w:r>
        <w:rPr>
          <w:rStyle w:val="FootnoteReference"/>
        </w:rPr>
        <w:footnoteReference w:id="44"/>
      </w:r>
      <w:r>
        <w:t xml:space="preserve">, or when the records become unavailable due to IT failures). </w:t>
      </w:r>
    </w:p>
    <w:p w14:paraId="27069BFB" w14:textId="77777777" w:rsidR="00EC6B4B" w:rsidRDefault="001305B9">
      <w:pPr>
        <w:pStyle w:val="Para"/>
      </w:pPr>
      <w:r>
        <w:t>Countries should consider identifying these practical hurdles and/or specific situations and how they may hinder beneficial ownership information from being kept up-to-date for each mechanism used by the country to maintain beneficial ownership information. Where relevant, countries should also consider specifying a period which is as short as practicable, with appropriate and justifiable measures that have the effect of adequately mitigating or overcoming these practical hurdles.</w:t>
      </w:r>
      <w:r>
        <w:rPr>
          <w:rStyle w:val="FootnoteReference"/>
        </w:rPr>
        <w:footnoteReference w:id="45"/>
      </w:r>
    </w:p>
    <w:p w14:paraId="439AA4FB" w14:textId="77777777" w:rsidR="00EC6B4B" w:rsidRDefault="001305B9">
      <w:pPr>
        <w:pStyle w:val="Para"/>
      </w:pPr>
      <w:r>
        <w:t xml:space="preserve">As a best practice to ensure that information is kept up-to-date, countries may consider requiring companies, as well as the other mechanisms used to ensure that competent authorities have timely access to adequate, accurate and up-to-date information, to periodically validate their beneficial ownership information on a risk-based approach, such as by reviewing or verifying the information that they hold.  Such regular validation could contribute to uncovering changes in the beneficial ownership of corporate structures, and would be useful if a company inadvertently fails to identify and report these changes. </w:t>
      </w:r>
    </w:p>
    <w:p w14:paraId="1EB7FEE3" w14:textId="77777777" w:rsidR="00EC6B4B" w:rsidRDefault="001305B9">
      <w:pPr>
        <w:pStyle w:val="Heading1"/>
      </w:pPr>
      <w:bookmarkStart w:id="226" w:name="_Toc114827793"/>
      <w:bookmarkStart w:id="227" w:name="_Toc114827974"/>
      <w:bookmarkStart w:id="228" w:name="_Toc114828063"/>
      <w:bookmarkStart w:id="229" w:name="_Toc114828152"/>
      <w:bookmarkStart w:id="230" w:name="_Toc114830622"/>
      <w:bookmarkStart w:id="231" w:name="_Toc114831006"/>
      <w:bookmarkStart w:id="232" w:name="_Toc114835255"/>
      <w:bookmarkStart w:id="233" w:name="_Toc114827794"/>
      <w:bookmarkStart w:id="234" w:name="_Toc114827975"/>
      <w:bookmarkStart w:id="235" w:name="_Toc114828064"/>
      <w:bookmarkStart w:id="236" w:name="_Toc114828153"/>
      <w:bookmarkStart w:id="237" w:name="_Toc114830623"/>
      <w:bookmarkStart w:id="238" w:name="_Toc114831007"/>
      <w:bookmarkStart w:id="239" w:name="_Toc114835256"/>
      <w:bookmarkStart w:id="240" w:name="_Toc114827795"/>
      <w:bookmarkStart w:id="241" w:name="_Toc114827976"/>
      <w:bookmarkStart w:id="242" w:name="_Toc114828065"/>
      <w:bookmarkStart w:id="243" w:name="_Toc114828154"/>
      <w:bookmarkStart w:id="244" w:name="_Toc114830624"/>
      <w:bookmarkStart w:id="245" w:name="_Toc114831008"/>
      <w:bookmarkStart w:id="246" w:name="_Toc114835257"/>
      <w:bookmarkStart w:id="247" w:name="_Toc114827796"/>
      <w:bookmarkStart w:id="248" w:name="_Toc114827977"/>
      <w:bookmarkStart w:id="249" w:name="_Toc114828066"/>
      <w:bookmarkStart w:id="250" w:name="_Toc114828155"/>
      <w:bookmarkStart w:id="251" w:name="_Toc114830625"/>
      <w:bookmarkStart w:id="252" w:name="_Toc114831009"/>
      <w:bookmarkStart w:id="253" w:name="_Toc114835258"/>
      <w:bookmarkStart w:id="254" w:name="_Toc114827797"/>
      <w:bookmarkStart w:id="255" w:name="_Toc114827978"/>
      <w:bookmarkStart w:id="256" w:name="_Toc114828067"/>
      <w:bookmarkStart w:id="257" w:name="_Toc114828156"/>
      <w:bookmarkStart w:id="258" w:name="_Toc114830626"/>
      <w:bookmarkStart w:id="259" w:name="_Toc114831010"/>
      <w:bookmarkStart w:id="260" w:name="_Toc114835259"/>
      <w:bookmarkStart w:id="261" w:name="_Toc114827798"/>
      <w:bookmarkStart w:id="262" w:name="_Toc114827979"/>
      <w:bookmarkStart w:id="263" w:name="_Toc114828068"/>
      <w:bookmarkStart w:id="264" w:name="_Toc114828157"/>
      <w:bookmarkStart w:id="265" w:name="_Toc114830627"/>
      <w:bookmarkStart w:id="266" w:name="_Toc114831011"/>
      <w:bookmarkStart w:id="267" w:name="_Toc114835260"/>
      <w:bookmarkStart w:id="268" w:name="_Toc114827799"/>
      <w:bookmarkStart w:id="269" w:name="_Toc114827980"/>
      <w:bookmarkStart w:id="270" w:name="_Toc114828069"/>
      <w:bookmarkStart w:id="271" w:name="_Toc114828158"/>
      <w:bookmarkStart w:id="272" w:name="_Toc114830628"/>
      <w:bookmarkStart w:id="273" w:name="_Toc114831012"/>
      <w:bookmarkStart w:id="274" w:name="_Toc114835261"/>
      <w:bookmarkStart w:id="275" w:name="_Toc114827800"/>
      <w:bookmarkStart w:id="276" w:name="_Toc114827981"/>
      <w:bookmarkStart w:id="277" w:name="_Toc114828070"/>
      <w:bookmarkStart w:id="278" w:name="_Toc114828159"/>
      <w:bookmarkStart w:id="279" w:name="_Toc114830629"/>
      <w:bookmarkStart w:id="280" w:name="_Toc114831013"/>
      <w:bookmarkStart w:id="281" w:name="_Toc114835262"/>
      <w:bookmarkStart w:id="282" w:name="_Toc114827801"/>
      <w:bookmarkStart w:id="283" w:name="_Toc114827982"/>
      <w:bookmarkStart w:id="284" w:name="_Toc114828071"/>
      <w:bookmarkStart w:id="285" w:name="_Toc114828160"/>
      <w:bookmarkStart w:id="286" w:name="_Toc114830630"/>
      <w:bookmarkStart w:id="287" w:name="_Toc114831014"/>
      <w:bookmarkStart w:id="288" w:name="_Toc114835263"/>
      <w:bookmarkStart w:id="289" w:name="_Toc114827802"/>
      <w:bookmarkStart w:id="290" w:name="_Toc114827983"/>
      <w:bookmarkStart w:id="291" w:name="_Toc114828072"/>
      <w:bookmarkStart w:id="292" w:name="_Toc114828161"/>
      <w:bookmarkStart w:id="293" w:name="_Toc114830631"/>
      <w:bookmarkStart w:id="294" w:name="_Toc114831015"/>
      <w:bookmarkStart w:id="295" w:name="_Toc114835264"/>
      <w:bookmarkStart w:id="296" w:name="_Toc114827803"/>
      <w:bookmarkStart w:id="297" w:name="_Toc114827984"/>
      <w:bookmarkStart w:id="298" w:name="_Toc114828073"/>
      <w:bookmarkStart w:id="299" w:name="_Toc114828162"/>
      <w:bookmarkStart w:id="300" w:name="_Toc114830632"/>
      <w:bookmarkStart w:id="301" w:name="_Toc114831016"/>
      <w:bookmarkStart w:id="302" w:name="_Toc114835265"/>
      <w:bookmarkStart w:id="303" w:name="_Toc114827804"/>
      <w:bookmarkStart w:id="304" w:name="_Toc114827985"/>
      <w:bookmarkStart w:id="305" w:name="_Toc114828074"/>
      <w:bookmarkStart w:id="306" w:name="_Toc114828163"/>
      <w:bookmarkStart w:id="307" w:name="_Toc114830633"/>
      <w:bookmarkStart w:id="308" w:name="_Toc114831017"/>
      <w:bookmarkStart w:id="309" w:name="_Toc114835266"/>
      <w:bookmarkStart w:id="310" w:name="_Toc114827805"/>
      <w:bookmarkStart w:id="311" w:name="_Toc114827986"/>
      <w:bookmarkStart w:id="312" w:name="_Toc114828075"/>
      <w:bookmarkStart w:id="313" w:name="_Toc114828164"/>
      <w:bookmarkStart w:id="314" w:name="_Toc114830634"/>
      <w:bookmarkStart w:id="315" w:name="_Toc114831018"/>
      <w:bookmarkStart w:id="316" w:name="_Toc114835267"/>
      <w:bookmarkStart w:id="317" w:name="_Toc114827806"/>
      <w:bookmarkStart w:id="318" w:name="_Toc114827987"/>
      <w:bookmarkStart w:id="319" w:name="_Toc114828076"/>
      <w:bookmarkStart w:id="320" w:name="_Toc114828165"/>
      <w:bookmarkStart w:id="321" w:name="_Toc114830635"/>
      <w:bookmarkStart w:id="322" w:name="_Toc114831019"/>
      <w:bookmarkStart w:id="323" w:name="_Toc114835268"/>
      <w:bookmarkStart w:id="324" w:name="_Toc114827807"/>
      <w:bookmarkStart w:id="325" w:name="_Toc114827988"/>
      <w:bookmarkStart w:id="326" w:name="_Toc114828077"/>
      <w:bookmarkStart w:id="327" w:name="_Toc114828166"/>
      <w:bookmarkStart w:id="328" w:name="_Toc114830636"/>
      <w:bookmarkStart w:id="329" w:name="_Toc114831020"/>
      <w:bookmarkStart w:id="330" w:name="_Toc114835269"/>
      <w:bookmarkStart w:id="331" w:name="_Toc114827808"/>
      <w:bookmarkStart w:id="332" w:name="_Toc114827989"/>
      <w:bookmarkStart w:id="333" w:name="_Toc114828078"/>
      <w:bookmarkStart w:id="334" w:name="_Toc114828167"/>
      <w:bookmarkStart w:id="335" w:name="_Toc114830637"/>
      <w:bookmarkStart w:id="336" w:name="_Toc114831021"/>
      <w:bookmarkStart w:id="337" w:name="_Toc114835270"/>
      <w:bookmarkStart w:id="338" w:name="_Toc114827809"/>
      <w:bookmarkStart w:id="339" w:name="_Toc114827990"/>
      <w:bookmarkStart w:id="340" w:name="_Toc114828079"/>
      <w:bookmarkStart w:id="341" w:name="_Toc114828168"/>
      <w:bookmarkStart w:id="342" w:name="_Toc114830638"/>
      <w:bookmarkStart w:id="343" w:name="_Toc114831022"/>
      <w:bookmarkStart w:id="344" w:name="_Toc114835271"/>
      <w:bookmarkStart w:id="345" w:name="_Toc114827810"/>
      <w:bookmarkStart w:id="346" w:name="_Toc114827991"/>
      <w:bookmarkStart w:id="347" w:name="_Toc114828080"/>
      <w:bookmarkStart w:id="348" w:name="_Toc114828169"/>
      <w:bookmarkStart w:id="349" w:name="_Toc114830639"/>
      <w:bookmarkStart w:id="350" w:name="_Toc114831023"/>
      <w:bookmarkStart w:id="351" w:name="_Toc114835272"/>
      <w:bookmarkStart w:id="352" w:name="_Toc114827811"/>
      <w:bookmarkStart w:id="353" w:name="_Toc114827992"/>
      <w:bookmarkStart w:id="354" w:name="_Toc114828081"/>
      <w:bookmarkStart w:id="355" w:name="_Toc114828170"/>
      <w:bookmarkStart w:id="356" w:name="_Toc114830640"/>
      <w:bookmarkStart w:id="357" w:name="_Toc114831024"/>
      <w:bookmarkStart w:id="358" w:name="_Toc114835273"/>
      <w:bookmarkStart w:id="359" w:name="_Toc114827812"/>
      <w:bookmarkStart w:id="360" w:name="_Toc114827993"/>
      <w:bookmarkStart w:id="361" w:name="_Toc114828082"/>
      <w:bookmarkStart w:id="362" w:name="_Toc114828171"/>
      <w:bookmarkStart w:id="363" w:name="_Toc114830641"/>
      <w:bookmarkStart w:id="364" w:name="_Toc114831025"/>
      <w:bookmarkStart w:id="365" w:name="_Toc114835274"/>
      <w:bookmarkStart w:id="366" w:name="_Toc114827813"/>
      <w:bookmarkStart w:id="367" w:name="_Toc114827994"/>
      <w:bookmarkStart w:id="368" w:name="_Toc114828083"/>
      <w:bookmarkStart w:id="369" w:name="_Toc114828172"/>
      <w:bookmarkStart w:id="370" w:name="_Toc114830642"/>
      <w:bookmarkStart w:id="371" w:name="_Toc114831026"/>
      <w:bookmarkStart w:id="372" w:name="_Toc114835275"/>
      <w:bookmarkStart w:id="373" w:name="_Toc114827814"/>
      <w:bookmarkStart w:id="374" w:name="_Toc114827995"/>
      <w:bookmarkStart w:id="375" w:name="_Toc114828084"/>
      <w:bookmarkStart w:id="376" w:name="_Toc114828173"/>
      <w:bookmarkStart w:id="377" w:name="_Toc114830643"/>
      <w:bookmarkStart w:id="378" w:name="_Toc114831027"/>
      <w:bookmarkStart w:id="379" w:name="_Toc114835276"/>
      <w:bookmarkStart w:id="380" w:name="_Toc114827815"/>
      <w:bookmarkStart w:id="381" w:name="_Toc114827996"/>
      <w:bookmarkStart w:id="382" w:name="_Toc114828085"/>
      <w:bookmarkStart w:id="383" w:name="_Toc114828174"/>
      <w:bookmarkStart w:id="384" w:name="_Toc114830644"/>
      <w:bookmarkStart w:id="385" w:name="_Toc114831028"/>
      <w:bookmarkStart w:id="386" w:name="_Toc114835277"/>
      <w:bookmarkStart w:id="387" w:name="_Toc114827816"/>
      <w:bookmarkStart w:id="388" w:name="_Toc114827997"/>
      <w:bookmarkStart w:id="389" w:name="_Toc114828086"/>
      <w:bookmarkStart w:id="390" w:name="_Toc114828175"/>
      <w:bookmarkStart w:id="391" w:name="_Toc114830645"/>
      <w:bookmarkStart w:id="392" w:name="_Toc114831029"/>
      <w:bookmarkStart w:id="393" w:name="_Toc114835278"/>
      <w:bookmarkStart w:id="394" w:name="_Toc114827817"/>
      <w:bookmarkStart w:id="395" w:name="_Toc114827998"/>
      <w:bookmarkStart w:id="396" w:name="_Toc114828087"/>
      <w:bookmarkStart w:id="397" w:name="_Toc114828176"/>
      <w:bookmarkStart w:id="398" w:name="_Toc114830646"/>
      <w:bookmarkStart w:id="399" w:name="_Toc114831030"/>
      <w:bookmarkStart w:id="400" w:name="_Toc114835279"/>
      <w:bookmarkStart w:id="401" w:name="_Toc114827818"/>
      <w:bookmarkStart w:id="402" w:name="_Toc114827999"/>
      <w:bookmarkStart w:id="403" w:name="_Toc114828088"/>
      <w:bookmarkStart w:id="404" w:name="_Toc114828177"/>
      <w:bookmarkStart w:id="405" w:name="_Toc114830647"/>
      <w:bookmarkStart w:id="406" w:name="_Toc114831031"/>
      <w:bookmarkStart w:id="407" w:name="_Toc114835280"/>
      <w:bookmarkStart w:id="408" w:name="_Toc114827819"/>
      <w:bookmarkStart w:id="409" w:name="_Toc114828000"/>
      <w:bookmarkStart w:id="410" w:name="_Toc114828089"/>
      <w:bookmarkStart w:id="411" w:name="_Toc114828178"/>
      <w:bookmarkStart w:id="412" w:name="_Toc114830648"/>
      <w:bookmarkStart w:id="413" w:name="_Toc114831032"/>
      <w:bookmarkStart w:id="414" w:name="_Toc114835281"/>
      <w:bookmarkStart w:id="415" w:name="_Toc114827820"/>
      <w:bookmarkStart w:id="416" w:name="_Toc114828001"/>
      <w:bookmarkStart w:id="417" w:name="_Toc114828090"/>
      <w:bookmarkStart w:id="418" w:name="_Toc114828179"/>
      <w:bookmarkStart w:id="419" w:name="_Toc114830649"/>
      <w:bookmarkStart w:id="420" w:name="_Toc114831033"/>
      <w:bookmarkStart w:id="421" w:name="_Toc114835282"/>
      <w:bookmarkStart w:id="422" w:name="_Toc114827821"/>
      <w:bookmarkStart w:id="423" w:name="_Toc114828002"/>
      <w:bookmarkStart w:id="424" w:name="_Toc114828091"/>
      <w:bookmarkStart w:id="425" w:name="_Toc114828180"/>
      <w:bookmarkStart w:id="426" w:name="_Toc114830650"/>
      <w:bookmarkStart w:id="427" w:name="_Toc114831034"/>
      <w:bookmarkStart w:id="428" w:name="_Toc114835283"/>
      <w:bookmarkStart w:id="429" w:name="_Toc114827822"/>
      <w:bookmarkStart w:id="430" w:name="_Toc114828003"/>
      <w:bookmarkStart w:id="431" w:name="_Toc114828092"/>
      <w:bookmarkStart w:id="432" w:name="_Toc114828181"/>
      <w:bookmarkStart w:id="433" w:name="_Toc114830651"/>
      <w:bookmarkStart w:id="434" w:name="_Toc114831035"/>
      <w:bookmarkStart w:id="435" w:name="_Toc114835284"/>
      <w:bookmarkStart w:id="436" w:name="_Toc114827823"/>
      <w:bookmarkStart w:id="437" w:name="_Toc114828004"/>
      <w:bookmarkStart w:id="438" w:name="_Toc114828093"/>
      <w:bookmarkStart w:id="439" w:name="_Toc114828182"/>
      <w:bookmarkStart w:id="440" w:name="_Toc114830652"/>
      <w:bookmarkStart w:id="441" w:name="_Toc114831036"/>
      <w:bookmarkStart w:id="442" w:name="_Toc114835285"/>
      <w:bookmarkStart w:id="443" w:name="_Toc114827824"/>
      <w:bookmarkStart w:id="444" w:name="_Toc114828005"/>
      <w:bookmarkStart w:id="445" w:name="_Toc114828094"/>
      <w:bookmarkStart w:id="446" w:name="_Toc114828183"/>
      <w:bookmarkStart w:id="447" w:name="_Toc114830653"/>
      <w:bookmarkStart w:id="448" w:name="_Toc114831037"/>
      <w:bookmarkStart w:id="449" w:name="_Toc114835286"/>
      <w:bookmarkStart w:id="450" w:name="_Toc114827825"/>
      <w:bookmarkStart w:id="451" w:name="_Toc114828006"/>
      <w:bookmarkStart w:id="452" w:name="_Toc114828095"/>
      <w:bookmarkStart w:id="453" w:name="_Toc114828184"/>
      <w:bookmarkStart w:id="454" w:name="_Toc114830654"/>
      <w:bookmarkStart w:id="455" w:name="_Toc114831038"/>
      <w:bookmarkStart w:id="456" w:name="_Toc114835287"/>
      <w:bookmarkStart w:id="457" w:name="_Toc114827826"/>
      <w:bookmarkStart w:id="458" w:name="_Toc114828007"/>
      <w:bookmarkStart w:id="459" w:name="_Toc114828096"/>
      <w:bookmarkStart w:id="460" w:name="_Toc114828185"/>
      <w:bookmarkStart w:id="461" w:name="_Toc114830655"/>
      <w:bookmarkStart w:id="462" w:name="_Toc114831039"/>
      <w:bookmarkStart w:id="463" w:name="_Toc114835288"/>
      <w:bookmarkStart w:id="464" w:name="_Toc114827827"/>
      <w:bookmarkStart w:id="465" w:name="_Toc114828008"/>
      <w:bookmarkStart w:id="466" w:name="_Toc114828097"/>
      <w:bookmarkStart w:id="467" w:name="_Toc114828186"/>
      <w:bookmarkStart w:id="468" w:name="_Toc114830656"/>
      <w:bookmarkStart w:id="469" w:name="_Toc114831040"/>
      <w:bookmarkStart w:id="470" w:name="_Toc114835289"/>
      <w:bookmarkStart w:id="471" w:name="_Toc114827828"/>
      <w:bookmarkStart w:id="472" w:name="_Toc114828009"/>
      <w:bookmarkStart w:id="473" w:name="_Toc114828098"/>
      <w:bookmarkStart w:id="474" w:name="_Toc114828187"/>
      <w:bookmarkStart w:id="475" w:name="_Toc114830657"/>
      <w:bookmarkStart w:id="476" w:name="_Toc114831041"/>
      <w:bookmarkStart w:id="477" w:name="_Toc114835290"/>
      <w:bookmarkStart w:id="478" w:name="_Toc114827829"/>
      <w:bookmarkStart w:id="479" w:name="_Toc114828010"/>
      <w:bookmarkStart w:id="480" w:name="_Toc114828099"/>
      <w:bookmarkStart w:id="481" w:name="_Toc114828188"/>
      <w:bookmarkStart w:id="482" w:name="_Toc114830658"/>
      <w:bookmarkStart w:id="483" w:name="_Toc114831042"/>
      <w:bookmarkStart w:id="484" w:name="_Toc114835291"/>
      <w:bookmarkStart w:id="485" w:name="_Toc114827830"/>
      <w:bookmarkStart w:id="486" w:name="_Toc114828011"/>
      <w:bookmarkStart w:id="487" w:name="_Toc114828100"/>
      <w:bookmarkStart w:id="488" w:name="_Toc114828189"/>
      <w:bookmarkStart w:id="489" w:name="_Toc114830659"/>
      <w:bookmarkStart w:id="490" w:name="_Toc114831043"/>
      <w:bookmarkStart w:id="491" w:name="_Toc114835292"/>
      <w:bookmarkStart w:id="492" w:name="_Toc114827831"/>
      <w:bookmarkStart w:id="493" w:name="_Toc114828012"/>
      <w:bookmarkStart w:id="494" w:name="_Toc114828101"/>
      <w:bookmarkStart w:id="495" w:name="_Toc114828190"/>
      <w:bookmarkStart w:id="496" w:name="_Toc114830660"/>
      <w:bookmarkStart w:id="497" w:name="_Toc114831044"/>
      <w:bookmarkStart w:id="498" w:name="_Toc114835293"/>
      <w:bookmarkStart w:id="499" w:name="_Toc114827832"/>
      <w:bookmarkStart w:id="500" w:name="_Toc114828013"/>
      <w:bookmarkStart w:id="501" w:name="_Toc114828102"/>
      <w:bookmarkStart w:id="502" w:name="_Toc114828191"/>
      <w:bookmarkStart w:id="503" w:name="_Toc114830661"/>
      <w:bookmarkStart w:id="504" w:name="_Toc114831045"/>
      <w:bookmarkStart w:id="505" w:name="_Toc114835294"/>
      <w:bookmarkStart w:id="506" w:name="_Toc114827833"/>
      <w:bookmarkStart w:id="507" w:name="_Toc114828014"/>
      <w:bookmarkStart w:id="508" w:name="_Toc114828103"/>
      <w:bookmarkStart w:id="509" w:name="_Toc114828192"/>
      <w:bookmarkStart w:id="510" w:name="_Toc114830662"/>
      <w:bookmarkStart w:id="511" w:name="_Toc114831046"/>
      <w:bookmarkStart w:id="512" w:name="_Toc114835295"/>
      <w:bookmarkStart w:id="513" w:name="_Toc114827834"/>
      <w:bookmarkStart w:id="514" w:name="_Toc114828015"/>
      <w:bookmarkStart w:id="515" w:name="_Toc114828104"/>
      <w:bookmarkStart w:id="516" w:name="_Toc114828193"/>
      <w:bookmarkStart w:id="517" w:name="_Toc114830663"/>
      <w:bookmarkStart w:id="518" w:name="_Toc114831047"/>
      <w:bookmarkStart w:id="519" w:name="_Toc114835296"/>
      <w:bookmarkStart w:id="520" w:name="_Toc117503086"/>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t>Obligations of companies under the company approach</w:t>
      </w:r>
      <w:bookmarkEnd w:id="520"/>
    </w:p>
    <w:p w14:paraId="13BA0BCE" w14:textId="77777777" w:rsidR="00EC6B4B" w:rsidRDefault="001305B9">
      <w:pPr>
        <w:pStyle w:val="Para"/>
        <w:rPr>
          <w:rFonts w:ascii="Cambria" w:eastAsiaTheme="minorEastAsia" w:hAnsi="Cambria"/>
        </w:rPr>
      </w:pPr>
      <w:r>
        <w:t>Under the company approach, countries should require companies to undertake the following measures</w:t>
      </w:r>
      <w:r>
        <w:rPr>
          <w:rStyle w:val="FootnoteReference"/>
          <w:rFonts w:ascii="Cambria" w:hAnsi="Cambria"/>
        </w:rPr>
        <w:footnoteReference w:id="46"/>
      </w:r>
      <w:r>
        <w:rPr>
          <w:rFonts w:ascii="Cambria" w:hAnsi="Cambria"/>
        </w:rPr>
        <w:t xml:space="preserve">: </w:t>
      </w:r>
    </w:p>
    <w:p w14:paraId="6363A04C" w14:textId="77777777" w:rsidR="00EC6B4B" w:rsidRDefault="001305B9">
      <w:pPr>
        <w:pStyle w:val="ListParagraph"/>
        <w:numPr>
          <w:ilvl w:val="0"/>
          <w:numId w:val="31"/>
        </w:numPr>
        <w:pBdr>
          <w:top w:val="nil"/>
          <w:left w:val="nil"/>
          <w:bottom w:val="nil"/>
          <w:right w:val="nil"/>
          <w:between w:val="nil"/>
          <w:bar w:val="nil"/>
        </w:pBdr>
        <w:spacing w:before="120" w:after="120"/>
        <w:ind w:right="221"/>
        <w:contextualSpacing w:val="0"/>
      </w:pPr>
      <w:r>
        <w:t>To obtain and hold adequate, accurate and up-to-date information on the company’s own beneficial ownership;</w:t>
      </w:r>
    </w:p>
    <w:p w14:paraId="000961E0" w14:textId="77777777" w:rsidR="00EC6B4B" w:rsidRDefault="001305B9">
      <w:pPr>
        <w:pStyle w:val="ListParagraph"/>
        <w:numPr>
          <w:ilvl w:val="0"/>
          <w:numId w:val="31"/>
        </w:numPr>
        <w:pBdr>
          <w:top w:val="nil"/>
          <w:left w:val="nil"/>
          <w:bottom w:val="nil"/>
          <w:right w:val="nil"/>
          <w:between w:val="nil"/>
          <w:bar w:val="nil"/>
        </w:pBdr>
        <w:spacing w:before="120" w:after="120"/>
        <w:ind w:right="221"/>
        <w:contextualSpacing w:val="0"/>
      </w:pPr>
      <w:r>
        <w:t>To co-operate with competent authorities to the fullest extent possible in determining the beneficial owner, including making the information available to competent authorities in a timely manner; and</w:t>
      </w:r>
    </w:p>
    <w:p w14:paraId="02FC6ED3" w14:textId="77777777" w:rsidR="00EC6B4B" w:rsidRDefault="001305B9">
      <w:pPr>
        <w:pStyle w:val="ListParagraph"/>
        <w:numPr>
          <w:ilvl w:val="0"/>
          <w:numId w:val="31"/>
        </w:numPr>
        <w:pBdr>
          <w:top w:val="nil"/>
          <w:left w:val="nil"/>
          <w:bottom w:val="nil"/>
          <w:right w:val="nil"/>
          <w:between w:val="nil"/>
          <w:bar w:val="nil"/>
        </w:pBdr>
        <w:spacing w:before="120" w:after="120"/>
        <w:ind w:right="221"/>
        <w:contextualSpacing w:val="0"/>
        <w:rPr>
          <w:rFonts w:ascii="Cambria" w:hAnsi="Cambria"/>
        </w:rPr>
      </w:pPr>
      <w:r>
        <w:t>To co-operate with financial institutions/DNFBPs to provide adequate, accurate and up-to-date information on the company’s beneficial ownership information</w:t>
      </w:r>
      <w:r>
        <w:rPr>
          <w:rFonts w:ascii="Cambria" w:hAnsi="Cambria"/>
        </w:rPr>
        <w:t xml:space="preserve">. </w:t>
      </w:r>
    </w:p>
    <w:p w14:paraId="29343AB8" w14:textId="77777777" w:rsidR="00EC6B4B" w:rsidRDefault="001305B9">
      <w:pPr>
        <w:pStyle w:val="Para"/>
      </w:pPr>
      <w:r>
        <w:t>As a starting point, countries should require companies to maintain a list of their shareholders or members</w:t>
      </w:r>
      <w:r>
        <w:rPr>
          <w:rStyle w:val="FootnoteReference"/>
          <w:rFonts w:ascii="Cambria" w:hAnsi="Cambria"/>
        </w:rPr>
        <w:footnoteReference w:id="47"/>
      </w:r>
      <w:r>
        <w:rPr>
          <w:rFonts w:ascii="Cambria" w:hAnsi="Cambria"/>
        </w:rPr>
        <w:t xml:space="preserve">, </w:t>
      </w:r>
      <w:r>
        <w:t>that competent authorities can access upon request.  However, this alone will not be sufficient, as shareholder registers contain information on legal ownership but not necessarily on beneficial ownership (see section 4 on beneficial ownership information). Countries should consider the following in implementing this approach:</w:t>
      </w:r>
    </w:p>
    <w:p w14:paraId="53BD7077" w14:textId="77777777" w:rsidR="00EC6B4B" w:rsidRDefault="001305B9">
      <w:pPr>
        <w:pStyle w:val="ListParagraph"/>
        <w:numPr>
          <w:ilvl w:val="0"/>
          <w:numId w:val="32"/>
        </w:numPr>
        <w:pBdr>
          <w:top w:val="nil"/>
          <w:left w:val="nil"/>
          <w:bottom w:val="nil"/>
          <w:right w:val="nil"/>
          <w:between w:val="nil"/>
          <w:bar w:val="nil"/>
        </w:pBdr>
        <w:spacing w:before="120" w:after="120"/>
        <w:ind w:right="221"/>
        <w:contextualSpacing w:val="0"/>
      </w:pPr>
      <w:r>
        <w:t xml:space="preserve">Are there mechanisms (e.g. established procedures/protocols) in place to ensure that the beneficial ownership information collected by companies is adequate, accurate and up-to-date, and that such information is accessible in a timely manner by the competent authorities? Do companies have powers to require updated information from their shareholders (including the power to request beneficial ownership information at any time)? </w:t>
      </w:r>
    </w:p>
    <w:p w14:paraId="259061C5" w14:textId="77777777" w:rsidR="00EC6B4B" w:rsidRDefault="001305B9">
      <w:pPr>
        <w:pStyle w:val="ListParagraph"/>
        <w:numPr>
          <w:ilvl w:val="0"/>
          <w:numId w:val="32"/>
        </w:numPr>
        <w:pBdr>
          <w:top w:val="nil"/>
          <w:left w:val="nil"/>
          <w:bottom w:val="nil"/>
          <w:right w:val="nil"/>
          <w:between w:val="nil"/>
          <w:bar w:val="nil"/>
        </w:pBdr>
        <w:spacing w:before="120" w:after="120"/>
        <w:ind w:right="221"/>
        <w:contextualSpacing w:val="0"/>
      </w:pPr>
      <w:r>
        <w:t>Are shareholders required to disclose the names of person(s) on whose behalf shares are held (i.e. nominators)? When there are any changes in ownership or control, are shareholders and beneficial owners required to notify the company within a set time period</w:t>
      </w:r>
      <w:r>
        <w:rPr>
          <w:rStyle w:val="FootnoteReference"/>
          <w:rFonts w:ascii="Cambria" w:hAnsi="Cambria"/>
        </w:rPr>
        <w:footnoteReference w:id="48"/>
      </w:r>
      <w:r>
        <w:t>? Are companies required to validate, review and verify information on beneficial owners periodically?</w:t>
      </w:r>
      <w:r>
        <w:rPr>
          <w:rStyle w:val="FootnoteReference"/>
          <w:rFonts w:ascii="Cambria" w:hAnsi="Cambria"/>
        </w:rPr>
        <w:footnoteReference w:id="49"/>
      </w:r>
    </w:p>
    <w:p w14:paraId="2F03828E" w14:textId="77777777" w:rsidR="00EC6B4B" w:rsidRDefault="001305B9">
      <w:pPr>
        <w:pStyle w:val="ListParagraph"/>
        <w:numPr>
          <w:ilvl w:val="0"/>
          <w:numId w:val="32"/>
        </w:numPr>
        <w:pBdr>
          <w:top w:val="nil"/>
          <w:left w:val="nil"/>
          <w:bottom w:val="nil"/>
          <w:right w:val="nil"/>
          <w:between w:val="nil"/>
          <w:bar w:val="nil"/>
        </w:pBdr>
        <w:spacing w:before="120" w:after="120"/>
        <w:ind w:left="1486" w:right="221" w:hanging="567"/>
        <w:contextualSpacing w:val="0"/>
        <w:rPr>
          <w:rFonts w:ascii="Cambria" w:hAnsi="Cambria"/>
        </w:rPr>
      </w:pPr>
      <w:r>
        <w:t>Are there effective, proportionate and dissuasive sanctions against the company and its representatives for failing to carry out their obligations (e.g. to collect beneficial ownership information and keep it adequate, accurate and up-to-date)?</w:t>
      </w:r>
      <w:r>
        <w:rPr>
          <w:rStyle w:val="FootnoteReference"/>
          <w:rFonts w:ascii="Cambria" w:hAnsi="Cambria"/>
        </w:rPr>
        <w:footnoteReference w:id="50"/>
      </w:r>
      <w:r>
        <w:rPr>
          <w:rFonts w:ascii="Cambria" w:hAnsi="Cambria"/>
        </w:rPr>
        <w:t xml:space="preserve"> </w:t>
      </w:r>
    </w:p>
    <w:p w14:paraId="34B46012" w14:textId="77777777" w:rsidR="00EC6B4B" w:rsidRDefault="001305B9">
      <w:pPr>
        <w:pStyle w:val="ListParagraph"/>
        <w:numPr>
          <w:ilvl w:val="0"/>
          <w:numId w:val="32"/>
        </w:numPr>
        <w:pBdr>
          <w:top w:val="nil"/>
          <w:left w:val="nil"/>
          <w:bottom w:val="nil"/>
          <w:right w:val="nil"/>
          <w:between w:val="nil"/>
          <w:bar w:val="nil"/>
        </w:pBdr>
        <w:spacing w:before="120" w:after="120"/>
        <w:ind w:right="221"/>
        <w:contextualSpacing w:val="0"/>
      </w:pPr>
      <w:r>
        <w:t>Do competent authorities have powers to require the cooperation of companies, and are there effective, proportionate and dissuasive sanctions for non-cooperation? Is beneficial ownership information required to be accessible within the country of incorporation? How are companies that have no physical presence in the country of incorporation dealt with?</w:t>
      </w:r>
      <w:r>
        <w:rPr>
          <w:rStyle w:val="FootnoteReference"/>
        </w:rPr>
        <w:footnoteReference w:id="51"/>
      </w:r>
      <w:r>
        <w:t xml:space="preserve"> </w:t>
      </w:r>
    </w:p>
    <w:p w14:paraId="06D66E41" w14:textId="77777777" w:rsidR="00EC6B4B" w:rsidRDefault="001305B9">
      <w:pPr>
        <w:pStyle w:val="ListParagraph"/>
        <w:numPr>
          <w:ilvl w:val="0"/>
          <w:numId w:val="32"/>
        </w:numPr>
        <w:pBdr>
          <w:top w:val="nil"/>
          <w:left w:val="nil"/>
          <w:bottom w:val="nil"/>
          <w:right w:val="nil"/>
          <w:between w:val="nil"/>
          <w:bar w:val="nil"/>
        </w:pBdr>
        <w:spacing w:before="120" w:after="120"/>
        <w:ind w:right="221"/>
        <w:contextualSpacing w:val="0"/>
      </w:pPr>
      <w:r>
        <w:t>Have authorities provided financial institutions/DNFBPs with clear guidance on what measures they expect them to take if companies do not cooperate with them (e.g. reporting the non-cooperation to the relevant authorities, not engage with or continue the business relationship).</w:t>
      </w:r>
    </w:p>
    <w:p w14:paraId="6B5073AD" w14:textId="77777777" w:rsidR="00EC6B4B" w:rsidRDefault="001305B9">
      <w:pPr>
        <w:pStyle w:val="ListParagraph"/>
        <w:numPr>
          <w:ilvl w:val="0"/>
          <w:numId w:val="32"/>
        </w:numPr>
        <w:pBdr>
          <w:top w:val="nil"/>
          <w:left w:val="nil"/>
          <w:bottom w:val="nil"/>
          <w:right w:val="nil"/>
          <w:between w:val="nil"/>
          <w:bar w:val="nil"/>
        </w:pBdr>
        <w:spacing w:before="120" w:after="120"/>
        <w:ind w:right="221"/>
        <w:contextualSpacing w:val="0"/>
        <w:rPr>
          <w:rFonts w:asciiTheme="majorHAnsi" w:hAnsiTheme="majorHAnsi"/>
          <w:b/>
          <w:bCs/>
          <w:color w:val="348092"/>
          <w:sz w:val="28"/>
        </w:rPr>
      </w:pPr>
      <w:r>
        <w:t xml:space="preserve"> How will companies become aware of their obligations and the necessary resources required to fulfil these obligations? Is there adequate guidance explaining their obligations, and is this guidance publicly available?  Are there adequate avenues for companies to be engaged and educated on their obligations?</w:t>
      </w:r>
    </w:p>
    <w:p w14:paraId="0872994E" w14:textId="77777777" w:rsidR="00EC6B4B" w:rsidRDefault="001305B9">
      <w:pPr>
        <w:pStyle w:val="Heading1"/>
      </w:pPr>
      <w:bookmarkStart w:id="521" w:name="_Toc117503087"/>
      <w:r>
        <w:t>The registry approach</w:t>
      </w:r>
      <w:bookmarkEnd w:id="521"/>
    </w:p>
    <w:p w14:paraId="2F6FF6B7" w14:textId="77777777" w:rsidR="00EC6B4B" w:rsidRDefault="001305B9">
      <w:pPr>
        <w:pStyle w:val="Para"/>
        <w:rPr>
          <w:rFonts w:ascii="Cambria" w:hAnsi="Cambria"/>
        </w:rPr>
      </w:pPr>
      <w:r>
        <w:t>One of the ways to ensure that competent authorities have access to adequate, accurate and up-to-date information on the beneficial ownership of legal persons under Recommendation 24 is for a public authority or body to hold this information (for example a tax authority, FIU, companies registry, or beneficial ownership registry).</w:t>
      </w:r>
      <w:r>
        <w:rPr>
          <w:rStyle w:val="FootnoteReference"/>
          <w:rFonts w:ascii="Cambria" w:hAnsi="Cambria"/>
        </w:rPr>
        <w:footnoteReference w:id="52"/>
      </w:r>
      <w:r>
        <w:rPr>
          <w:rFonts w:ascii="Cambria" w:hAnsi="Cambria"/>
        </w:rPr>
        <w:t xml:space="preserve"> </w:t>
      </w:r>
    </w:p>
    <w:p w14:paraId="755898DA" w14:textId="77777777" w:rsidR="00EC6B4B" w:rsidRDefault="001305B9">
      <w:pPr>
        <w:pStyle w:val="Para"/>
      </w:pPr>
      <w:r>
        <w:t>A register holding beneficial ownership information can be an effective mechanism because it allows competent authorities to access such information from a direct source in a rapid and efficient manner (often in real time). Such effectiveness is generally conditional upon the registrar having sufficient resources to perform its tasks and, on its ability, to request additional information when it has doubts on the information it receives.</w:t>
      </w:r>
    </w:p>
    <w:p w14:paraId="62ECE33F" w14:textId="77777777" w:rsidR="00EC6B4B" w:rsidRDefault="001305B9">
      <w:pPr>
        <w:pStyle w:val="Para"/>
      </w:pPr>
      <w:r>
        <w:t>Beneficial ownership registers can take different shapes and forms, and countries have significant flexibility to adjust their set-up to match the institutional context in which the registers operate, as well as the variety of legal persons whose beneficial ownership is recorded in the register(s). This means, for example, that countries that operate on a decentralised basis (and particularly in the case of federal states with competences at the sub-national level) may have several registers that operate independently, but are interconnected. In such cases, it is important to ensure consistency of approaches and interoperability of the systems to ensure that competent authorities have seamless access to the beneficial ownership information, regardless of which sub-national authorities holds it. It is also possible that different registers are set up for different legal persons (e.g. for companies, associations or foundations), reflecting the different nature of these types of legal persons. Also in this case, countries should ensure that the different registers function coherently and that rapid and efficient access by competent authorities is ensured in all cases, regardless of the chosen set-up for the registers. In any case, countries should ensure that their registers have a scope sufficiently wide to cover all relevant legal persons, including relevant foreign legal</w:t>
      </w:r>
      <w:r>
        <w:rPr>
          <w:rFonts w:ascii="Cambria" w:hAnsi="Cambria"/>
        </w:rPr>
        <w:t xml:space="preserve"> </w:t>
      </w:r>
      <w:r>
        <w:t>persons (instead of a particular group of legal persons). The onus is on the countries to ensure that the registry provides efficient access to reliable information.</w:t>
      </w:r>
    </w:p>
    <w:p w14:paraId="34D6D210" w14:textId="77777777" w:rsidR="00EC6B4B" w:rsidRDefault="001305B9">
      <w:pPr>
        <w:pStyle w:val="Para"/>
      </w:pPr>
      <w:r>
        <w:t xml:space="preserve">Most of the challenges in implementing beneficial ownership registers originate from the institutional level – i.e. whether the registry is established to collect adequate, accurate and up-to-date information on beneficial information, whether the register is empowered to do so and whether proportionate and dissuasive sanctions for any legal or natural person that fails to comply with the requirements are applied, and whether the register is equipped with sufficient resources to perform its role. </w:t>
      </w:r>
    </w:p>
    <w:p w14:paraId="3045720D" w14:textId="77777777" w:rsidR="00EC6B4B" w:rsidRDefault="001305B9">
      <w:pPr>
        <w:pStyle w:val="Para"/>
      </w:pPr>
      <w:r>
        <w:t>Some countries have integrated beneficial ownership information into already existing databases, such as company registers. Other countries have set up beneficial owner registries, which are populated by legal persons, FIs/DNFBPs, competent authorities or to some extent by automated reports via interconnected registries. Competent authorities, and in some countries obliged parties can access these beneficial ownership registries, and crosscheck beneficial ownership information against other sources (e.g. FIs and DNFBPs, notary profession, tax or stock market authorities or documentation requested from the legal persons).</w:t>
      </w:r>
    </w:p>
    <w:p w14:paraId="73352613" w14:textId="77777777" w:rsidR="00EC6B4B" w:rsidRDefault="001305B9">
      <w:pPr>
        <w:pStyle w:val="Para"/>
      </w:pPr>
      <w:r>
        <w:t>In some countries, the notary profession keeps a centralised database on the beneficial ownership of legal persons (e.g. a database kept by a private body entrusted with the task by a public authority). This includes adequate, accurate and up-to-date information obtained and recorded by notaries when incorporating entities or conducting certain other acts or transactions by persons and entities, and information on the transfer of persons and entities. This creates a repository of corporate information, which may be used to validate the information in the company registry.</w:t>
      </w:r>
    </w:p>
    <w:p w14:paraId="5902A06F" w14:textId="77777777" w:rsidR="00EC6B4B" w:rsidRDefault="001305B9">
      <w:pPr>
        <w:pStyle w:val="Para"/>
      </w:pPr>
      <w:r>
        <w:t>Some countries may also have their tax authorities maintain beneficial ownership information for certain legal persons. The tax authorities may hold adequate, accurate and up-to-date basic and beneficial ownership information on legal persons who have an income, have ownership, engage in real estate transaction or hire employees. Some even require that all legal persons making disclosures to the tax authorities have a bank account and be subject to banks’ CDD requirements. If such database is used, the information contained therein should be adequate, accurate and up-to-date.</w:t>
      </w:r>
    </w:p>
    <w:p w14:paraId="54D1B424" w14:textId="77777777" w:rsidR="00EC6B4B" w:rsidRDefault="001305B9">
      <w:pPr>
        <w:pStyle w:val="Para"/>
      </w:pPr>
      <w:r>
        <w:t>Countries that make use of a public authority or body holding beneficial ownership information should consider the resources and expertise that will be required in order to maintain the register, and to ensure that the information recorded in the register is adequate, accurate and up-to-date, and can be accessed in a rapid and efficient manner. The considerations also apply for the management, maintenance, as well as risk-based mechanisms in place in the registry(ies) to verify the information. Without sufficient resources, the effectiveness of the public authority or body holding beneficial ownership information will also be compromised.</w:t>
      </w:r>
    </w:p>
    <w:p w14:paraId="0BF89F8D" w14:textId="77777777" w:rsidR="00EC6B4B" w:rsidRDefault="001305B9">
      <w:pPr>
        <w:pStyle w:val="Para"/>
        <w:rPr>
          <w:rFonts w:ascii="Cambria" w:hAnsi="Cambria"/>
        </w:rPr>
      </w:pPr>
      <w:r>
        <w:t>Moreover, if the tasks and duties of the public authority or body holding beneficial ownership information are not well defined and the power and responsibilities of the registry are not sufficiently clear, the public authority or body will not be able to ensure that the data in the register is adequate, accurate and up-to-date</w:t>
      </w:r>
      <w:r>
        <w:rPr>
          <w:rFonts w:ascii="Cambria" w:hAnsi="Cambria"/>
        </w:rPr>
        <w:t>.</w:t>
      </w:r>
    </w:p>
    <w:p w14:paraId="5C0D88DC" w14:textId="77777777" w:rsidR="00EC6B4B" w:rsidRDefault="001305B9">
      <w:pPr>
        <w:pStyle w:val="Para"/>
      </w:pPr>
      <w:r>
        <w:t>Recommendation 24 allows countries to consider facilitating public access to beneficial ownership information. Countries should seek to strike a balance between the general public interest in disclosing the data to prevent money laundering and terrorist financing, and the beneficial owners’ fundamental rights (such as personal data protection concerns and relevant legal requirements). To that end, countries may consider a tiered approach to disclosure of the information. For example, countries that have provided public access may consider clearly and exhaustively defining the types of information to be made available to the public, which could be of a more general nature (such as name and reason why the person is identified as beneficial owner, company name and registered address), so as to minimise the potential prejudice to the beneficial owners (see section 13 on access to information).</w:t>
      </w:r>
    </w:p>
    <w:p w14:paraId="0E48594F" w14:textId="77777777" w:rsidR="00EC6B4B" w:rsidRDefault="001305B9">
      <w:pPr>
        <w:pStyle w:val="Para"/>
      </w:pPr>
      <w:r>
        <w:t>Below are some examples of considerations for countries seeking to establish a registry of beneficial ownership or to integrate beneficial ownership information into an already existing database:</w:t>
      </w:r>
    </w:p>
    <w:p w14:paraId="0896E912" w14:textId="77777777" w:rsidR="00EC6B4B" w:rsidRDefault="001305B9">
      <w:pPr>
        <w:pStyle w:val="ListParagraph"/>
        <w:numPr>
          <w:ilvl w:val="0"/>
          <w:numId w:val="33"/>
        </w:numPr>
        <w:pBdr>
          <w:top w:val="nil"/>
          <w:left w:val="nil"/>
          <w:bottom w:val="nil"/>
          <w:right w:val="nil"/>
          <w:between w:val="nil"/>
          <w:bar w:val="nil"/>
        </w:pBdr>
        <w:spacing w:before="120" w:after="120"/>
        <w:ind w:right="221"/>
        <w:contextualSpacing w:val="0"/>
      </w:pPr>
      <w:r>
        <w:t xml:space="preserve">Are there jurisdictional or constitutional impediments to implementing an effective beneficial ownership register? For example, in some countries, state/provincial level authorities have responsibility for registering and regulating legal persons, and there are constitutional impediments that limit the national authorities’ jurisdiction to impose beneficial ownership requirements on those authorities. </w:t>
      </w:r>
    </w:p>
    <w:p w14:paraId="207801F3" w14:textId="77777777" w:rsidR="00EC6B4B" w:rsidRDefault="001305B9">
      <w:pPr>
        <w:pStyle w:val="ListParagraph"/>
        <w:numPr>
          <w:ilvl w:val="0"/>
          <w:numId w:val="33"/>
        </w:numPr>
        <w:pBdr>
          <w:top w:val="nil"/>
          <w:left w:val="nil"/>
          <w:bottom w:val="nil"/>
          <w:right w:val="nil"/>
          <w:between w:val="nil"/>
          <w:bar w:val="nil"/>
        </w:pBdr>
        <w:spacing w:before="120" w:after="120"/>
        <w:ind w:right="221"/>
        <w:contextualSpacing w:val="0"/>
      </w:pPr>
      <w:r>
        <w:t xml:space="preserve">Are the registry’s statutory powers and objectives sufficiently broad to cover the role of collecting, verifying and maintaining beneficial ownership information? </w:t>
      </w:r>
    </w:p>
    <w:p w14:paraId="36EF99C6" w14:textId="77777777" w:rsidR="00EC6B4B" w:rsidRDefault="001305B9">
      <w:pPr>
        <w:pStyle w:val="ListParagraph"/>
        <w:numPr>
          <w:ilvl w:val="0"/>
          <w:numId w:val="33"/>
        </w:numPr>
        <w:pBdr>
          <w:top w:val="nil"/>
          <w:left w:val="nil"/>
          <w:bottom w:val="nil"/>
          <w:right w:val="nil"/>
          <w:between w:val="nil"/>
          <w:bar w:val="nil"/>
        </w:pBdr>
        <w:spacing w:before="120" w:after="120"/>
        <w:ind w:right="221"/>
        <w:contextualSpacing w:val="0"/>
      </w:pPr>
      <w:r>
        <w:t xml:space="preserve">Does the authority or body responsible for the register have sufficient human and capital resources to collect, verify, and maintain beneficial ownership information? A good understanding and knowledge of corporate law may be necessary to determine the beneficial owner of a complex legal structure. Similarly, an understanding of the economic context in which the company operates might be instrumental in understanding how control may be exercised through other means (also see section 4 on beneficial ownership information).  In some countries, the registry is able to run thematic/horizontal analyses of the legal persons for which it holds beneficial ownership information, which enable detection of outliers or incorrect information. In designing the register, countries might wish to consider whether its technical set-up would enable or prevent this type of analysis. </w:t>
      </w:r>
    </w:p>
    <w:p w14:paraId="20EB1A3F" w14:textId="77777777" w:rsidR="00EC6B4B" w:rsidRDefault="001305B9">
      <w:pPr>
        <w:pStyle w:val="ListParagraph"/>
        <w:numPr>
          <w:ilvl w:val="0"/>
          <w:numId w:val="33"/>
        </w:numPr>
        <w:pBdr>
          <w:top w:val="nil"/>
          <w:left w:val="nil"/>
          <w:bottom w:val="nil"/>
          <w:right w:val="nil"/>
          <w:between w:val="nil"/>
          <w:bar w:val="nil"/>
        </w:pBdr>
        <w:spacing w:before="120" w:after="120"/>
        <w:ind w:right="221"/>
        <w:contextualSpacing w:val="0"/>
      </w:pPr>
      <w:r>
        <w:t>Are there mechanisms for ensuring that the beneficial ownership information provided to the register is adequate, accurate and up-to-date? Are individual applicants who form legal persons required to submit accurate beneficial ownership information to the register when the legal person is created (e.g. by prohibiting incorporation if such information is not provided)? Are there risk-based mechanisms to monitor beneficial ownership information from time to time after incorporation?  Does the registry verify the accuracy of the information it receives following a risk-based approach and using reliable, independent source documents, data or information? Is there a process that allows authorities and FIs and DNFBPs to report any discrepancies to the registry? Are reasonable steps taken to remedy reported discrepancies within an appropriate timeframe (see section 7 on accurate information)?</w:t>
      </w:r>
    </w:p>
    <w:p w14:paraId="765AAA24" w14:textId="77777777" w:rsidR="00EC6B4B" w:rsidRDefault="001305B9">
      <w:pPr>
        <w:pStyle w:val="ListParagraph"/>
        <w:numPr>
          <w:ilvl w:val="0"/>
          <w:numId w:val="33"/>
        </w:numPr>
        <w:pBdr>
          <w:top w:val="nil"/>
          <w:left w:val="nil"/>
          <w:bottom w:val="nil"/>
          <w:right w:val="nil"/>
          <w:between w:val="nil"/>
          <w:bar w:val="nil"/>
        </w:pBdr>
        <w:spacing w:before="120" w:after="120"/>
        <w:ind w:right="221"/>
        <w:contextualSpacing w:val="0"/>
      </w:pPr>
      <w:r>
        <w:t>How are changes in beneficial ownership information monitored and recorded over time? Are legal persons and/or beneficial owners required to provide information to the register within a reasonable timeframe (see section 8 on up-to-date information) once any changes are made or corrections are needed? In addition, are there any periodic requirements for updating/confirming/correctly beneficial owner information?</w:t>
      </w:r>
    </w:p>
    <w:p w14:paraId="0F3E1D51" w14:textId="77777777" w:rsidR="00EC6B4B" w:rsidRDefault="001305B9">
      <w:pPr>
        <w:pStyle w:val="ListParagraph"/>
        <w:numPr>
          <w:ilvl w:val="0"/>
          <w:numId w:val="33"/>
        </w:numPr>
        <w:pBdr>
          <w:top w:val="nil"/>
          <w:left w:val="nil"/>
          <w:bottom w:val="nil"/>
          <w:right w:val="nil"/>
          <w:between w:val="nil"/>
          <w:bar w:val="nil"/>
        </w:pBdr>
        <w:spacing w:before="120" w:after="120"/>
        <w:ind w:right="221"/>
        <w:contextualSpacing w:val="0"/>
      </w:pPr>
      <w:r>
        <w:t>Is there a competent authority with responsibility for enforcing the requirement to report to the register? Are there effective, appropriate and dissuasive sanctions that apply to breaches (for example, by failing to disclose, or submitting inaccurate or incomplete information) based on the legal framework in place in the country?</w:t>
      </w:r>
      <w:r>
        <w:rPr>
          <w:vertAlign w:val="superscript"/>
        </w:rPr>
        <w:t xml:space="preserve"> </w:t>
      </w:r>
      <w:r>
        <w:rPr>
          <w:vertAlign w:val="superscript"/>
        </w:rPr>
        <w:footnoteReference w:id="53"/>
      </w:r>
      <w:r>
        <w:t xml:space="preserve"> For example, where legal persons have a duty to report their beneficial owner(s), are sanctions laid down in relation to all relevant aspects (e.g. for submission of incomplete/inaccurate information)? </w:t>
      </w:r>
    </w:p>
    <w:p w14:paraId="5CF7782D" w14:textId="77777777" w:rsidR="00EC6B4B" w:rsidRDefault="001305B9">
      <w:pPr>
        <w:pStyle w:val="ListParagraph"/>
        <w:numPr>
          <w:ilvl w:val="0"/>
          <w:numId w:val="33"/>
        </w:numPr>
        <w:pBdr>
          <w:top w:val="nil"/>
          <w:left w:val="nil"/>
          <w:bottom w:val="nil"/>
          <w:right w:val="nil"/>
          <w:between w:val="nil"/>
          <w:bar w:val="nil"/>
        </w:pBdr>
        <w:spacing w:before="120" w:after="120"/>
        <w:ind w:right="221"/>
        <w:contextualSpacing w:val="0"/>
      </w:pPr>
      <w:r>
        <w:t>Is the information held by the registry available to competent authorities in a rapid and efficient manner? Is the existence of the register sufficiently publicised? Is information available on how to use it? Does the system allow competent authorities to search for beneficial ownership information held in the register in a way that serves their needs adequately (e.g. it allows searches by the name of the legal person and the name of the beneficial owner, it has tools for distinguishing among legal persons and beneficial owners with the same names, it has tools for aggregation of information, etc.)? Does the register provide direct access through remote login or similar mechanisms, or does information have to be requested from the register? If the latter, does the process still allow competent authorities to obtain information in a rapid and efficient manner? Are there clear disclosure requirements on the authority or body responsible for the registry to protect against the improper disclosure of the information?</w:t>
      </w:r>
    </w:p>
    <w:p w14:paraId="1CCA48B1" w14:textId="77777777" w:rsidR="00EC6B4B" w:rsidRDefault="001305B9">
      <w:pPr>
        <w:pStyle w:val="Heading2"/>
      </w:pPr>
      <w:bookmarkStart w:id="522" w:name="_Toc117503088"/>
      <w:r>
        <w:t>Example features – Public authority or body holding beneficial ownership information</w:t>
      </w:r>
      <w:bookmarkEnd w:id="522"/>
    </w:p>
    <w:p w14:paraId="175368D3" w14:textId="77777777" w:rsidR="00EC6B4B" w:rsidRDefault="001305B9">
      <w:pPr>
        <w:pStyle w:val="Para"/>
      </w:pPr>
      <w:r>
        <w:t>A mechanism that provides for a public authority or body holding beneficial ownership (BO) information could include some or all of the following features:</w:t>
      </w:r>
    </w:p>
    <w:p w14:paraId="75E914CE" w14:textId="77777777" w:rsidR="00EC6B4B" w:rsidRDefault="001305B9">
      <w:pPr>
        <w:pStyle w:val="ListParagraph"/>
        <w:numPr>
          <w:ilvl w:val="0"/>
          <w:numId w:val="34"/>
        </w:numPr>
        <w:tabs>
          <w:tab w:val="left" w:pos="833"/>
        </w:tabs>
        <w:autoSpaceDE w:val="0"/>
        <w:autoSpaceDN w:val="0"/>
        <w:spacing w:before="120" w:after="120"/>
        <w:ind w:right="220"/>
        <w:contextualSpacing w:val="0"/>
      </w:pPr>
      <w:r>
        <w:t>Companies are required to provide basic and BO information to the company register upon registration.</w:t>
      </w:r>
    </w:p>
    <w:p w14:paraId="09D01ED9" w14:textId="77777777" w:rsidR="00EC6B4B" w:rsidRDefault="001305B9">
      <w:pPr>
        <w:pStyle w:val="ListParagraph"/>
        <w:numPr>
          <w:ilvl w:val="0"/>
          <w:numId w:val="34"/>
        </w:numPr>
        <w:tabs>
          <w:tab w:val="left" w:pos="833"/>
        </w:tabs>
        <w:autoSpaceDE w:val="0"/>
        <w:autoSpaceDN w:val="0"/>
        <w:spacing w:before="120" w:after="120"/>
        <w:ind w:right="220"/>
        <w:contextualSpacing w:val="0"/>
      </w:pPr>
      <w:r>
        <w:t>Companies are required to provide basic and BO information regularly and within a reasonable period (e.g. within one month) following any change.</w:t>
      </w:r>
    </w:p>
    <w:p w14:paraId="103C0FA0" w14:textId="77777777" w:rsidR="00EC6B4B" w:rsidRDefault="001305B9">
      <w:pPr>
        <w:pStyle w:val="ListParagraph"/>
        <w:numPr>
          <w:ilvl w:val="0"/>
          <w:numId w:val="34"/>
        </w:numPr>
        <w:tabs>
          <w:tab w:val="left" w:pos="833"/>
        </w:tabs>
        <w:autoSpaceDE w:val="0"/>
        <w:autoSpaceDN w:val="0"/>
        <w:spacing w:before="120" w:after="120"/>
        <w:ind w:right="220"/>
        <w:contextualSpacing w:val="0"/>
      </w:pPr>
      <w:r>
        <w:t>Companies are required to make a declaration (e.g. sworn statement) regarding the beneficial owner and the ownership structure. This could include the provision of copies of documentation for the verification of identity.</w:t>
      </w:r>
    </w:p>
    <w:p w14:paraId="6B3027B7" w14:textId="77777777" w:rsidR="00EC6B4B" w:rsidRDefault="001305B9">
      <w:pPr>
        <w:pStyle w:val="ListParagraph"/>
        <w:numPr>
          <w:ilvl w:val="0"/>
          <w:numId w:val="34"/>
        </w:numPr>
        <w:tabs>
          <w:tab w:val="left" w:pos="833"/>
        </w:tabs>
        <w:autoSpaceDE w:val="0"/>
        <w:autoSpaceDN w:val="0"/>
        <w:spacing w:before="120" w:after="120"/>
        <w:ind w:right="220"/>
        <w:contextualSpacing w:val="0"/>
      </w:pPr>
      <w:r>
        <w:t>The public authority or body holding BO information is required, on a risk-based approach, to verify the identity of the beneficial owners and that they indeed satisfy the criteria for being regarded as beneficial owners. (Cross-reference to section on verification)</w:t>
      </w:r>
    </w:p>
    <w:p w14:paraId="31709955" w14:textId="77777777" w:rsidR="00EC6B4B" w:rsidRDefault="001305B9">
      <w:pPr>
        <w:pStyle w:val="ListParagraph"/>
        <w:numPr>
          <w:ilvl w:val="0"/>
          <w:numId w:val="34"/>
        </w:numPr>
        <w:tabs>
          <w:tab w:val="left" w:pos="833"/>
        </w:tabs>
        <w:autoSpaceDE w:val="0"/>
        <w:autoSpaceDN w:val="0"/>
        <w:spacing w:before="120" w:after="120"/>
        <w:ind w:right="220"/>
        <w:contextualSpacing w:val="0"/>
      </w:pPr>
      <w:r>
        <w:t>Companies that fail to provide BO information are subject to proportionate and dissuasive sanctions, such as restrictions on incorporation, and such sanctions are applied. (see section 16 on sanctions).</w:t>
      </w:r>
    </w:p>
    <w:p w14:paraId="47B7237A" w14:textId="77777777" w:rsidR="00EC6B4B" w:rsidRDefault="001305B9">
      <w:pPr>
        <w:pStyle w:val="ListParagraph"/>
        <w:numPr>
          <w:ilvl w:val="0"/>
          <w:numId w:val="34"/>
        </w:numPr>
        <w:tabs>
          <w:tab w:val="left" w:pos="833"/>
        </w:tabs>
        <w:autoSpaceDE w:val="0"/>
        <w:autoSpaceDN w:val="0"/>
        <w:spacing w:before="120" w:after="120"/>
        <w:ind w:right="220"/>
        <w:contextualSpacing w:val="0"/>
      </w:pPr>
      <w:r>
        <w:t>The provision of incorrect information is subject to proportionate and dissuasive administrative and/or criminal sanctions for the company. The company’s representative could also be held personally liable. (see section 16 on sanctions).</w:t>
      </w:r>
    </w:p>
    <w:p w14:paraId="57D8D1BE" w14:textId="77777777" w:rsidR="00EC6B4B" w:rsidRDefault="001305B9">
      <w:pPr>
        <w:pStyle w:val="ListParagraph"/>
        <w:numPr>
          <w:ilvl w:val="0"/>
          <w:numId w:val="34"/>
        </w:numPr>
        <w:tabs>
          <w:tab w:val="left" w:pos="833"/>
        </w:tabs>
        <w:autoSpaceDE w:val="0"/>
        <w:autoSpaceDN w:val="0"/>
        <w:spacing w:before="120" w:after="120"/>
        <w:ind w:right="220"/>
        <w:contextualSpacing w:val="0"/>
      </w:pPr>
      <w:r>
        <w:t>The public authority or body holding BO information regularly applies such sanctions when obligations are breached or reports breaches to the appropriate authority.</w:t>
      </w:r>
    </w:p>
    <w:p w14:paraId="33F3385F" w14:textId="77777777" w:rsidR="00EC6B4B" w:rsidRDefault="001305B9">
      <w:pPr>
        <w:pStyle w:val="ListParagraph"/>
        <w:numPr>
          <w:ilvl w:val="0"/>
          <w:numId w:val="34"/>
        </w:numPr>
        <w:tabs>
          <w:tab w:val="left" w:pos="833"/>
        </w:tabs>
        <w:autoSpaceDE w:val="0"/>
        <w:autoSpaceDN w:val="0"/>
        <w:spacing w:before="120" w:after="120"/>
        <w:ind w:right="220"/>
        <w:contextualSpacing w:val="0"/>
      </w:pPr>
      <w:r>
        <w:t>The public authority or body holding BO information takes a proactive role, including checking information against other sources (such as shareholder, population or national identity registries) through risk-based verification, use of technologies etc., to identify anomalies or inconsistencies and reduce the risk of fraud on supporting documents or improper disclosure.</w:t>
      </w:r>
    </w:p>
    <w:p w14:paraId="14C65FE4" w14:textId="77777777" w:rsidR="00EC6B4B" w:rsidRDefault="001305B9">
      <w:pPr>
        <w:pStyle w:val="ListParagraph"/>
        <w:numPr>
          <w:ilvl w:val="0"/>
          <w:numId w:val="34"/>
        </w:numPr>
        <w:tabs>
          <w:tab w:val="left" w:pos="833"/>
        </w:tabs>
        <w:autoSpaceDE w:val="0"/>
        <w:autoSpaceDN w:val="0"/>
        <w:spacing w:before="120" w:after="120"/>
        <w:ind w:right="220"/>
        <w:contextualSpacing w:val="0"/>
      </w:pPr>
      <w:r>
        <w:t>BO information held by a public authority or body is recorded digitally and is searchable. The search function supports searches by multiple fields.</w:t>
      </w:r>
    </w:p>
    <w:p w14:paraId="19597D54" w14:textId="77777777" w:rsidR="00EC6B4B" w:rsidRDefault="001305B9">
      <w:pPr>
        <w:pStyle w:val="ListParagraph"/>
        <w:numPr>
          <w:ilvl w:val="0"/>
          <w:numId w:val="34"/>
        </w:numPr>
        <w:tabs>
          <w:tab w:val="left" w:pos="833"/>
        </w:tabs>
        <w:autoSpaceDE w:val="0"/>
        <w:autoSpaceDN w:val="0"/>
        <w:spacing w:before="120" w:after="120"/>
        <w:ind w:right="220"/>
        <w:contextualSpacing w:val="0"/>
      </w:pPr>
      <w:r>
        <w:t>Competent authorities have rapid and efficient access to the BO information held by a public authority or body online, including full search capability.</w:t>
      </w:r>
    </w:p>
    <w:p w14:paraId="1929CEA5" w14:textId="77777777" w:rsidR="00EC6B4B" w:rsidRDefault="001305B9">
      <w:pPr>
        <w:pStyle w:val="ListParagraph"/>
        <w:numPr>
          <w:ilvl w:val="0"/>
          <w:numId w:val="34"/>
        </w:numPr>
        <w:tabs>
          <w:tab w:val="left" w:pos="833"/>
        </w:tabs>
        <w:autoSpaceDE w:val="0"/>
        <w:autoSpaceDN w:val="0"/>
        <w:spacing w:before="120" w:after="120"/>
        <w:ind w:right="220"/>
        <w:contextualSpacing w:val="0"/>
      </w:pPr>
      <w:r>
        <w:t>The BO information held by a public authority or body has the capability to identify indicators of misuse or unusual activity (red flags) in the database.</w:t>
      </w:r>
    </w:p>
    <w:p w14:paraId="73E93C39" w14:textId="77777777" w:rsidR="00EC6B4B" w:rsidRDefault="001305B9">
      <w:pPr>
        <w:pStyle w:val="ListParagraph"/>
        <w:numPr>
          <w:ilvl w:val="0"/>
          <w:numId w:val="34"/>
        </w:numPr>
        <w:tabs>
          <w:tab w:val="left" w:pos="833"/>
        </w:tabs>
        <w:autoSpaceDE w:val="0"/>
        <w:autoSpaceDN w:val="0"/>
        <w:spacing w:before="120" w:after="120"/>
        <w:ind w:right="220"/>
        <w:contextualSpacing w:val="0"/>
      </w:pPr>
      <w:r>
        <w:t>Basic information on the company is publicly available; some or all BO information could also be made publicly available, or be made available to FIs and DNFBPs at a minimum.</w:t>
      </w:r>
    </w:p>
    <w:p w14:paraId="55B83DF5" w14:textId="77777777" w:rsidR="00EC6B4B" w:rsidRDefault="001305B9">
      <w:pPr>
        <w:pStyle w:val="ListParagraph"/>
        <w:numPr>
          <w:ilvl w:val="0"/>
          <w:numId w:val="34"/>
        </w:numPr>
        <w:tabs>
          <w:tab w:val="left" w:pos="833"/>
        </w:tabs>
        <w:autoSpaceDE w:val="0"/>
        <w:autoSpaceDN w:val="0"/>
        <w:spacing w:before="120" w:after="120"/>
        <w:ind w:right="220"/>
        <w:contextualSpacing w:val="0"/>
      </w:pPr>
      <w:r>
        <w:t>FIs and DNFBPs and, if appropriate competent authorities report any discrepancies (cross-reference to section on accuracy) they find between the BO information held by the public authority or body and the BO information available to them. The public authority or body holding BO information and/or other relevant authority takes appropriate actions to correct the information within a reasonable timeframe.</w:t>
      </w:r>
    </w:p>
    <w:p w14:paraId="182DC589" w14:textId="77777777" w:rsidR="00EC6B4B" w:rsidRDefault="001305B9">
      <w:pPr>
        <w:pStyle w:val="ListParagraph"/>
        <w:numPr>
          <w:ilvl w:val="0"/>
          <w:numId w:val="34"/>
        </w:numPr>
        <w:tabs>
          <w:tab w:val="left" w:pos="833"/>
        </w:tabs>
        <w:autoSpaceDE w:val="0"/>
        <w:autoSpaceDN w:val="0"/>
        <w:spacing w:before="120" w:after="120"/>
        <w:ind w:right="220"/>
        <w:contextualSpacing w:val="0"/>
      </w:pPr>
      <w:r>
        <w:t>The public authority or body holding BO information may also obtain and hold shareholder information on companies in addition to beneficial ownership information.</w:t>
      </w:r>
    </w:p>
    <w:p w14:paraId="2EFFD0F8" w14:textId="77777777" w:rsidR="00EC6B4B" w:rsidRDefault="001305B9">
      <w:pPr>
        <w:pStyle w:val="ListParagraph"/>
        <w:numPr>
          <w:ilvl w:val="0"/>
          <w:numId w:val="34"/>
        </w:numPr>
        <w:tabs>
          <w:tab w:val="left" w:pos="833"/>
        </w:tabs>
        <w:autoSpaceDE w:val="0"/>
        <w:autoSpaceDN w:val="0"/>
        <w:spacing w:before="120" w:after="120"/>
        <w:ind w:right="220"/>
        <w:contextualSpacing w:val="0"/>
      </w:pPr>
      <w:r>
        <w:t>The public authority or body holding BO information collects information on the board of directors, senior management and any other natural person authorised to act on behalf of the company.</w:t>
      </w:r>
    </w:p>
    <w:p w14:paraId="2700766A" w14:textId="77777777" w:rsidR="00EC6B4B" w:rsidRDefault="001305B9">
      <w:pPr>
        <w:pStyle w:val="ListParagraph"/>
        <w:numPr>
          <w:ilvl w:val="0"/>
          <w:numId w:val="34"/>
        </w:numPr>
        <w:tabs>
          <w:tab w:val="left" w:pos="833"/>
        </w:tabs>
        <w:autoSpaceDE w:val="0"/>
        <w:autoSpaceDN w:val="0"/>
        <w:spacing w:before="120" w:after="120"/>
        <w:ind w:right="220"/>
        <w:contextualSpacing w:val="0"/>
      </w:pPr>
      <w:r>
        <w:t xml:space="preserve"> The mechanism is complemented by other approaches to ensure that the BO information of a company can be determined in a timely manner by a competent authority.</w:t>
      </w:r>
      <w:r>
        <w:rPr>
          <w:vertAlign w:val="superscript"/>
        </w:rPr>
        <w:footnoteReference w:id="54"/>
      </w:r>
    </w:p>
    <w:p w14:paraId="57CB7C73" w14:textId="77777777" w:rsidR="00EC6B4B" w:rsidRDefault="001305B9">
      <w:pPr>
        <w:pStyle w:val="ListParagraph"/>
        <w:numPr>
          <w:ilvl w:val="0"/>
          <w:numId w:val="34"/>
        </w:numPr>
        <w:tabs>
          <w:tab w:val="left" w:pos="833"/>
        </w:tabs>
        <w:autoSpaceDE w:val="0"/>
        <w:autoSpaceDN w:val="0"/>
        <w:spacing w:before="120" w:after="120"/>
        <w:ind w:right="220"/>
        <w:contextualSpacing w:val="0"/>
      </w:pPr>
      <w:r>
        <w:t>Data protection and privacy safeguards are in place, including restrictions on users of the registry and other BO information sources to prevent the improper disclosure of this information.</w:t>
      </w:r>
    </w:p>
    <w:p w14:paraId="34722D9B" w14:textId="77777777" w:rsidR="00EC6B4B" w:rsidRDefault="001305B9">
      <w:pPr>
        <w:pStyle w:val="Heading1"/>
        <w:rPr>
          <w:rFonts w:eastAsia="Calibri"/>
          <w:u w:color="000000"/>
        </w:rPr>
      </w:pPr>
      <w:bookmarkStart w:id="523" w:name="_Toc117503089"/>
      <w:r>
        <w:t>Mechanisms and sources for obtaining beneficial ownership information of legal persons: characteristics of alternative mechanisms</w:t>
      </w:r>
      <w:bookmarkEnd w:id="523"/>
      <w:r>
        <w:rPr>
          <w:rFonts w:eastAsia="Calibri"/>
          <w:u w:color="000000"/>
        </w:rPr>
        <w:t xml:space="preserve"> </w:t>
      </w:r>
    </w:p>
    <w:p w14:paraId="1B4C6761" w14:textId="77777777" w:rsidR="00EC6B4B" w:rsidRDefault="001305B9">
      <w:pPr>
        <w:pStyle w:val="Para"/>
      </w:pPr>
      <w:r>
        <w:t>Countries may decide to implement the multi-pronged approach set out in Recommendation 24 by using an alternative mechanism instead of a beneficial ownership registry if the mechanism also provides competent authorities with efficient access to adequate, accurate, and up-to-date beneficial ownership information.</w:t>
      </w:r>
      <w:r>
        <w:rPr>
          <w:rStyle w:val="FootnoteReference"/>
          <w:rFonts w:ascii="Cambria" w:hAnsi="Cambria"/>
        </w:rPr>
        <w:footnoteReference w:id="55"/>
      </w:r>
      <w:r>
        <w:t xml:space="preserve">  Efficient in this context refers to access that is rapid and reliable – i.e., through a trusted source, without undue delay that enables competent authorities, particularly law enforcement and the FIU, to conduct their investigations and analyses quickly.  </w:t>
      </w:r>
    </w:p>
    <w:p w14:paraId="5D26C66F" w14:textId="77777777" w:rsidR="00EC6B4B" w:rsidRDefault="001305B9">
      <w:pPr>
        <w:pStyle w:val="Para"/>
      </w:pPr>
      <w:r>
        <w:t xml:space="preserve">Countries have the flexibility to develop an alternative mechanism that is line with their specific risks, materiality and context, provided that the approach ensures that competent authorities have efficient access to adequate, accurate, and up-to-date beneficial ownership information. In taking the alternative mechanism approach, countries may rely on an existing source(s) of information. The onus is on the countries to ensure that there is a specific mechanism(s) that provides efficient access to reliable information.  The mechanism(s) should comprise a clear and comprehensive process or system (or multiple processes or systems) through which competent authorities are able to access adequate, accurate, and up-to-date beneficial ownership information. </w:t>
      </w:r>
    </w:p>
    <w:p w14:paraId="33977421" w14:textId="77777777" w:rsidR="00EC6B4B" w:rsidRDefault="001305B9">
      <w:pPr>
        <w:pStyle w:val="Para"/>
      </w:pPr>
      <w:r>
        <w:t xml:space="preserve">Countries taking the alternative mechanism approach, should take into account the below considerations in designing their alternative mechanisms. </w:t>
      </w:r>
    </w:p>
    <w:p w14:paraId="544EEDBA" w14:textId="77777777" w:rsidR="00EC6B4B" w:rsidRDefault="001305B9">
      <w:pPr>
        <w:pStyle w:val="ListParagraph"/>
        <w:numPr>
          <w:ilvl w:val="0"/>
          <w:numId w:val="35"/>
        </w:numPr>
        <w:tabs>
          <w:tab w:val="left" w:pos="833"/>
        </w:tabs>
        <w:autoSpaceDE w:val="0"/>
        <w:autoSpaceDN w:val="0"/>
        <w:spacing w:before="120" w:after="120"/>
        <w:ind w:right="220"/>
        <w:contextualSpacing w:val="0"/>
      </w:pPr>
      <w:r>
        <w:rPr>
          <w:b/>
          <w:bCs/>
        </w:rPr>
        <w:t>Legal/Operational Framework</w:t>
      </w:r>
      <w:r>
        <w:t xml:space="preserve">: Is there a clear legal framework that enables competent authorities’ access to this information, and/or authorises the source to disclose this information to other relevant authorities?  Is there a legal framework to protect the source of information from liability for authorised disclosures?  Is there a legal framework to require the source of information to disclose this information to authorities in a timely fashion?  Absent a specific legal framework, do competent authorities have sufficient existing powers to seek information using the alternative mechanism?  </w:t>
      </w:r>
    </w:p>
    <w:p w14:paraId="7302ED4E" w14:textId="77777777" w:rsidR="00EC6B4B" w:rsidRDefault="001305B9">
      <w:pPr>
        <w:pStyle w:val="ListParagraph"/>
        <w:numPr>
          <w:ilvl w:val="0"/>
          <w:numId w:val="35"/>
        </w:numPr>
        <w:tabs>
          <w:tab w:val="left" w:pos="833"/>
        </w:tabs>
        <w:autoSpaceDE w:val="0"/>
        <w:autoSpaceDN w:val="0"/>
        <w:spacing w:before="120" w:after="120"/>
        <w:ind w:right="220"/>
        <w:contextualSpacing w:val="0"/>
      </w:pPr>
      <w:r>
        <w:rPr>
          <w:b/>
          <w:bCs/>
        </w:rPr>
        <w:t>Scope:</w:t>
      </w:r>
      <w:r>
        <w:rPr>
          <w:bCs/>
        </w:rPr>
        <w:t xml:space="preserve"> Is the scope of the alternative mechanism sufficiently wide to cover all relevant legal persons, including relevant foreign legal persons (instead of a particular group of legal persons)? Does it cover domestic legal persons that may pose ML/TF risks but may not be clients of specific FIs or DNFBPs?</w:t>
      </w:r>
    </w:p>
    <w:p w14:paraId="5256C963" w14:textId="77777777" w:rsidR="00EC6B4B" w:rsidRDefault="001305B9">
      <w:pPr>
        <w:pStyle w:val="ListParagraph"/>
        <w:numPr>
          <w:ilvl w:val="0"/>
          <w:numId w:val="35"/>
        </w:numPr>
        <w:tabs>
          <w:tab w:val="left" w:pos="833"/>
        </w:tabs>
        <w:autoSpaceDE w:val="0"/>
        <w:autoSpaceDN w:val="0"/>
        <w:spacing w:before="120" w:after="120"/>
        <w:ind w:right="220"/>
        <w:contextualSpacing w:val="0"/>
      </w:pPr>
      <w:r>
        <w:rPr>
          <w:b/>
          <w:bCs/>
        </w:rPr>
        <w:t>Resource:</w:t>
      </w:r>
      <w:r>
        <w:t xml:space="preserve"> Does the entity(ies) responsible for the alternative mechanism have sufficient human and capital resources to ensure adequate, accurate and up-to-date beneficial ownership information? </w:t>
      </w:r>
    </w:p>
    <w:p w14:paraId="6678C523" w14:textId="77777777" w:rsidR="00EC6B4B" w:rsidRDefault="001305B9">
      <w:pPr>
        <w:pStyle w:val="ListParagraph"/>
        <w:numPr>
          <w:ilvl w:val="0"/>
          <w:numId w:val="35"/>
        </w:numPr>
        <w:tabs>
          <w:tab w:val="left" w:pos="833"/>
        </w:tabs>
        <w:autoSpaceDE w:val="0"/>
        <w:autoSpaceDN w:val="0"/>
        <w:spacing w:before="120" w:after="120"/>
        <w:ind w:right="220"/>
        <w:contextualSpacing w:val="0"/>
      </w:pPr>
      <w:r>
        <w:rPr>
          <w:b/>
          <w:bCs/>
        </w:rPr>
        <w:t>Awareness</w:t>
      </w:r>
      <w:r>
        <w:t xml:space="preserve">: Are there clear guidelines to make the competent authorities (particularly law enforcement authorities and FIUs) aware of the alternative mechanism through which they can access adequate, accurate, and up-to-date beneficial ownership information? Do they have a clear understanding of how to gain access to beneficial ownership information through the alternative mechanism? Do sources of beneficial ownership information have a clear understanding of their disclosure obligations under the alternative mechanism? </w:t>
      </w:r>
    </w:p>
    <w:p w14:paraId="422FB851" w14:textId="77777777" w:rsidR="00EC6B4B" w:rsidRDefault="001305B9">
      <w:pPr>
        <w:pStyle w:val="ListParagraph"/>
        <w:numPr>
          <w:ilvl w:val="0"/>
          <w:numId w:val="35"/>
        </w:numPr>
        <w:tabs>
          <w:tab w:val="left" w:pos="833"/>
        </w:tabs>
        <w:autoSpaceDE w:val="0"/>
        <w:autoSpaceDN w:val="0"/>
        <w:spacing w:before="120" w:after="120"/>
        <w:ind w:right="220"/>
        <w:contextualSpacing w:val="0"/>
      </w:pPr>
      <w:r>
        <w:rPr>
          <w:b/>
          <w:bCs/>
        </w:rPr>
        <w:t>Responsiveness</w:t>
      </w:r>
      <w:r>
        <w:t xml:space="preserve">: When competent authorities seek beneficial ownership information through the alternative mechanism, is access to the information rapid and efficient? Is there a specific process or system in place to facilitate quick access? For example, if beneficial ownership information is held by different entities, have competent authorities established a process to obtain access to the beneficial ownership information with the single point of contact or with the parties that hold beneficial ownership information to avoid undue delays in receiving information from different entities? </w:t>
      </w:r>
    </w:p>
    <w:p w14:paraId="3BBEC4C8" w14:textId="77777777" w:rsidR="00EC6B4B" w:rsidRDefault="001305B9">
      <w:pPr>
        <w:pStyle w:val="ListParagraph"/>
        <w:numPr>
          <w:ilvl w:val="0"/>
          <w:numId w:val="35"/>
        </w:numPr>
        <w:tabs>
          <w:tab w:val="left" w:pos="833"/>
        </w:tabs>
        <w:autoSpaceDE w:val="0"/>
        <w:autoSpaceDN w:val="0"/>
        <w:spacing w:before="120" w:after="120"/>
        <w:ind w:right="220"/>
        <w:contextualSpacing w:val="0"/>
      </w:pPr>
      <w:r>
        <w:rPr>
          <w:b/>
          <w:bCs/>
        </w:rPr>
        <w:t>Quality</w:t>
      </w:r>
      <w:r>
        <w:t>: Does the alternative mechanism provide complete and reliable information? Are there measures in place to ensure that the information is adequate, accurate, and up-to-date?</w:t>
      </w:r>
      <w:r>
        <w:rPr>
          <w:rStyle w:val="FootnoteReference"/>
        </w:rPr>
        <w:footnoteReference w:id="56"/>
      </w:r>
      <w:r>
        <w:t xml:space="preserve"> If the alternative mechanism is not in itself a source of information, does the underlying source(s) meet(s) the objective of having adequate, accurate and up-to-date information (i.e. does the source that holds the information perform quality control and verification measures on the beneficial ownership information)? Does the source that holds the beneficial ownership information have a good understanding and knowledge of corporate law and/or complicated legal structures, and other relevant expertise to assist in identifying appropriate beneficial owners? If competent authorities rely on multiple sources to identify the beneficial owners, is the data consistent across sources? Is there a process by which differences in data are resolved?</w:t>
      </w:r>
    </w:p>
    <w:p w14:paraId="208FFFD4" w14:textId="77777777" w:rsidR="00EC6B4B" w:rsidRDefault="001305B9">
      <w:pPr>
        <w:pStyle w:val="ListParagraph"/>
        <w:widowControl/>
        <w:numPr>
          <w:ilvl w:val="0"/>
          <w:numId w:val="35"/>
        </w:numPr>
        <w:tabs>
          <w:tab w:val="left" w:pos="833"/>
        </w:tabs>
        <w:autoSpaceDE w:val="0"/>
        <w:autoSpaceDN w:val="0"/>
        <w:spacing w:before="120" w:after="120"/>
        <w:ind w:right="220"/>
        <w:contextualSpacing w:val="0"/>
        <w:rPr>
          <w:rFonts w:ascii="Cambria" w:hAnsi="Cambria"/>
        </w:rPr>
      </w:pPr>
      <w:r>
        <w:rPr>
          <w:b/>
          <w:bCs/>
        </w:rPr>
        <w:t>Oversight and data protection</w:t>
      </w:r>
      <w:r>
        <w:t>: Are appropriate oversight, supervisory measures, or equivalent mechanisms (e.g. appropriate sanctions) in place to ensure that the alternative mechanism provides for efficient access to beneficial ownership information, while taking into account data protection and confidentiality concerns? Do the parties that hold beneficial ownership information have appropriate access protocols and safeguards in place to ensure data protection? Do the competent authorities that seek beneficial ownership information have appropriate access protocols and safeguards in place to ensure data protection?</w:t>
      </w:r>
    </w:p>
    <w:p w14:paraId="4F563351" w14:textId="77777777" w:rsidR="00EC6B4B" w:rsidRDefault="001305B9">
      <w:pPr>
        <w:pStyle w:val="Para"/>
      </w:pPr>
      <w:r>
        <w:t>Countries would have to develop specific mechanism(s) to ensure efficient access to beneficial ownership information under the alternative mechanism, for example, a secure communication electronic portal/website that enables competent authorities to reach out to multiple sources at once, and ensure that a rapid response is received on the relevant BO information. Countries should implement specific measures, including verification and supervision, to ensure that the underlying beneficial ownership information, is adequate, accurate, and up-to-date. These two elements (high-quality source information plus mechanism for efficient access) may constitute an alternative mechanism.</w:t>
      </w:r>
    </w:p>
    <w:p w14:paraId="38FB9952" w14:textId="77777777" w:rsidR="00EC6B4B" w:rsidRDefault="001305B9">
      <w:pPr>
        <w:pStyle w:val="Para"/>
      </w:pPr>
      <w:r>
        <w:t xml:space="preserve">Below are examples of sources of information (which may be based on CDD information) that can be leveraged by countries to develop alternative mechanisms. </w:t>
      </w:r>
    </w:p>
    <w:p w14:paraId="2735B209" w14:textId="77777777" w:rsidR="00EC6B4B" w:rsidRDefault="001305B9">
      <w:pPr>
        <w:pStyle w:val="ListParagraph"/>
        <w:numPr>
          <w:ilvl w:val="1"/>
          <w:numId w:val="17"/>
        </w:numPr>
      </w:pPr>
      <w:r>
        <w:t>a bank account register that identifies legal persons holding bank accounts, payment accounts and other financial services</w:t>
      </w:r>
    </w:p>
    <w:p w14:paraId="51FBD58A" w14:textId="77777777" w:rsidR="00EC6B4B" w:rsidRDefault="001305B9">
      <w:pPr>
        <w:pStyle w:val="ListParagraph"/>
        <w:numPr>
          <w:ilvl w:val="1"/>
          <w:numId w:val="17"/>
        </w:numPr>
      </w:pPr>
      <w:r>
        <w:t>a public authority holding information on the FIs/DNFBPs with which a legal person has a continuous business relationship</w:t>
      </w:r>
    </w:p>
    <w:p w14:paraId="453BF9E8" w14:textId="77777777" w:rsidR="00EC6B4B" w:rsidRDefault="001305B9">
      <w:pPr>
        <w:pStyle w:val="ListParagraph"/>
        <w:numPr>
          <w:ilvl w:val="1"/>
          <w:numId w:val="17"/>
        </w:numPr>
      </w:pPr>
      <w:r>
        <w:t>a system with credit bureau information which collects and maintains updated information of legal persons having borrowing relationships with FIs.</w:t>
      </w:r>
    </w:p>
    <w:p w14:paraId="28EF0CE7" w14:textId="77777777" w:rsidR="00EC6B4B" w:rsidRDefault="00EC6B4B">
      <w:pPr>
        <w:pStyle w:val="ListParagraph"/>
        <w:ind w:left="1440"/>
      </w:pPr>
    </w:p>
    <w:p w14:paraId="75CEC8AA" w14:textId="77777777" w:rsidR="00EC6B4B" w:rsidRDefault="001305B9">
      <w:pPr>
        <w:rPr>
          <w:rFonts w:ascii="Cambria" w:hAnsi="Cambria"/>
        </w:rPr>
      </w:pPr>
      <w:r>
        <w:t>Beneficial ownership information obtained and held by FIs/DNFBPs (pursuant to Recommendation 10/22) alone is not sufficient to qualify as an alternative mechanism. However, countries may consider utilising this information to develop an alternative mechanism, to ensure efficient access to adequate, accurate and up-to-date BO information by competent authorities. Emerging digital solutions may give rise to further possibilities for countries to develop their alternative mechanisms.</w:t>
      </w:r>
    </w:p>
    <w:p w14:paraId="18F51E4B" w14:textId="77777777" w:rsidR="00EC6B4B" w:rsidRDefault="001305B9">
      <w:pPr>
        <w:pStyle w:val="Heading1"/>
      </w:pPr>
      <w:bookmarkStart w:id="524" w:name="_Toc117503090"/>
      <w:r>
        <w:t>Additional supplementary measures</w:t>
      </w:r>
      <w:bookmarkEnd w:id="524"/>
    </w:p>
    <w:p w14:paraId="0E97D287" w14:textId="77777777" w:rsidR="00EC6B4B" w:rsidRDefault="001305B9">
      <w:pPr>
        <w:pStyle w:val="Para"/>
      </w:pPr>
      <w:r>
        <w:t>In applying a multi-pronged approach to ensuring that the beneficial ownership of a company can be determined in a timely manner by competent authorities (see section 5 on multi-pronged approach), countries should use additional supplementary information as necessary</w:t>
      </w:r>
      <w:r>
        <w:rPr>
          <w:rStyle w:val="FootnoteReference"/>
        </w:rPr>
        <w:footnoteReference w:id="57"/>
      </w:r>
      <w:r>
        <w:t xml:space="preserve">, including for example: </w:t>
      </w:r>
    </w:p>
    <w:p w14:paraId="7174501E" w14:textId="77777777" w:rsidR="00EC6B4B" w:rsidRDefault="001305B9">
      <w:pPr>
        <w:pStyle w:val="ListParagraph"/>
        <w:widowControl/>
        <w:numPr>
          <w:ilvl w:val="0"/>
          <w:numId w:val="16"/>
        </w:numPr>
        <w:spacing w:after="160" w:line="259" w:lineRule="auto"/>
      </w:pPr>
      <w:r>
        <w:t xml:space="preserve">Information held by other regulators/supervisors; </w:t>
      </w:r>
    </w:p>
    <w:p w14:paraId="16328F41" w14:textId="77777777" w:rsidR="00EC6B4B" w:rsidRDefault="001305B9">
      <w:pPr>
        <w:pStyle w:val="ListParagraph"/>
        <w:widowControl/>
        <w:numPr>
          <w:ilvl w:val="0"/>
          <w:numId w:val="16"/>
        </w:numPr>
        <w:spacing w:after="160" w:line="259" w:lineRule="auto"/>
      </w:pPr>
      <w:r>
        <w:t xml:space="preserve">Information held by stock exchanges; </w:t>
      </w:r>
    </w:p>
    <w:p w14:paraId="2CAE69EF" w14:textId="77777777" w:rsidR="00EC6B4B" w:rsidRDefault="001305B9">
      <w:pPr>
        <w:pStyle w:val="ListParagraph"/>
        <w:widowControl/>
        <w:numPr>
          <w:ilvl w:val="0"/>
          <w:numId w:val="16"/>
        </w:numPr>
        <w:spacing w:after="160" w:line="259" w:lineRule="auto"/>
      </w:pPr>
      <w:r>
        <w:t>Information obtained by FIs in accordance with Recommendation 10;</w:t>
      </w:r>
    </w:p>
    <w:p w14:paraId="3A22CDF1" w14:textId="77777777" w:rsidR="00EC6B4B" w:rsidRDefault="001305B9">
      <w:pPr>
        <w:pStyle w:val="ListParagraph"/>
        <w:widowControl/>
        <w:numPr>
          <w:ilvl w:val="0"/>
          <w:numId w:val="16"/>
        </w:numPr>
        <w:spacing w:after="160" w:line="259" w:lineRule="auto"/>
      </w:pPr>
      <w:r>
        <w:t xml:space="preserve">Information obtained by DNFBPs in accordance with Recommendation 22.  </w:t>
      </w:r>
    </w:p>
    <w:p w14:paraId="64436167" w14:textId="77777777" w:rsidR="00EC6B4B" w:rsidRDefault="001305B9">
      <w:pPr>
        <w:pStyle w:val="Para"/>
      </w:pPr>
      <w:r>
        <w:t>With respect to (a), countries may rely on existing information sharing arrangements with financial regulators and/or other AML/CFT supervisory bodies to assess and enhance their own beneficial ownership information. Such agreements present countries with further opportunity to review and challenge the information they hold on beneficial ownership. This may assist competent authorities in locating information that is not accurate or up-to-date. This could be achieved by liaising with other regulators/supervisors to check that the beneficial ownership information provided is accurate on the basis of the information held by the other regulator, or other bodies that operate under the delegated authority of the supervisor.</w:t>
      </w:r>
    </w:p>
    <w:p w14:paraId="07FC97DE" w14:textId="77777777" w:rsidR="00EC6B4B" w:rsidRDefault="001305B9">
      <w:pPr>
        <w:pStyle w:val="Para"/>
      </w:pPr>
      <w:r>
        <w:t>Open sources of information, such as (b), may provide competent authorities with additional means of obtaining and verifying information. Where a company is listed on a stock exchange and subject to requirements on adequate transparency of beneficial ownership, countries may consider allowing the use of that information to validate the beneficial ownership information (see section 18 on the applicability of relevant regulatory regimes).</w:t>
      </w:r>
    </w:p>
    <w:p w14:paraId="005AE543" w14:textId="77777777" w:rsidR="00EC6B4B" w:rsidRDefault="001305B9">
      <w:pPr>
        <w:pStyle w:val="Para"/>
      </w:pPr>
      <w:r>
        <w:t>Additional supplementary measures can also be information obtained by FIs and DNFBPs in accordance with Recommendations 10 and 22. Countries may rely on an effectively regulated FI sector, which can provide beneficial ownership information obtained in accordance with Recommendation 10, as noted in (c). Under the Recommendation, countries should require FIs to identify and take reasonable measures to verify the identity of the beneficial owner such that the FI is satisfied that it knows who the beneficial owner is. In addition, countries should require FIs to understand the ownership and control structure of the customer and the customer’s business and risk profile. The obligation on understanding ownership and control structure and risk profile should be ongoing.</w:t>
      </w:r>
      <w:r>
        <w:rPr>
          <w:rStyle w:val="FootnoteReference"/>
          <w:rFonts w:ascii="Cambria" w:hAnsi="Cambria"/>
        </w:rPr>
        <w:footnoteReference w:id="58"/>
      </w:r>
    </w:p>
    <w:p w14:paraId="3A19E500" w14:textId="77777777" w:rsidR="00EC6B4B" w:rsidRDefault="001305B9">
      <w:pPr>
        <w:pStyle w:val="Para"/>
      </w:pPr>
      <w:r>
        <w:t xml:space="preserve">Where a country relies heavily on an effectively regulated DNFBP sector which is involved in company formation (notably TCSPs, lawyers, notaries, and accountants), as noted in (d), additional supplementary measures can also be information held by those DNFBPs in accordance with Recommendation 22. </w:t>
      </w:r>
    </w:p>
    <w:p w14:paraId="0E730A8B" w14:textId="77777777" w:rsidR="00EC6B4B" w:rsidRDefault="001305B9">
      <w:pPr>
        <w:pStyle w:val="Para"/>
      </w:pPr>
      <w:r>
        <w:t>To use information held by FIs and DNFBPs as an additional supplementary measure, it is also essential to have effective monitoring and supervision of FIs and DNFBPs</w:t>
      </w:r>
      <w:r>
        <w:rPr>
          <w:spacing w:val="1"/>
          <w:position w:val="5"/>
        </w:rPr>
        <w:t xml:space="preserve"> </w:t>
      </w:r>
      <w:r>
        <w:t>to ensure that they are complying with CDD requirements. Implementation of the CDD</w:t>
      </w:r>
      <w:r>
        <w:rPr>
          <w:spacing w:val="1"/>
        </w:rPr>
        <w:t xml:space="preserve"> </w:t>
      </w:r>
      <w:r>
        <w:t>requirements</w:t>
      </w:r>
      <w:r>
        <w:rPr>
          <w:spacing w:val="1"/>
        </w:rPr>
        <w:t xml:space="preserve"> </w:t>
      </w:r>
      <w:r>
        <w:t>should</w:t>
      </w:r>
      <w:r>
        <w:rPr>
          <w:spacing w:val="1"/>
        </w:rPr>
        <w:t xml:space="preserve"> </w:t>
      </w:r>
      <w:r>
        <w:t>form</w:t>
      </w:r>
      <w:r>
        <w:rPr>
          <w:spacing w:val="1"/>
        </w:rPr>
        <w:t xml:space="preserve"> </w:t>
      </w:r>
      <w:r>
        <w:t>part</w:t>
      </w:r>
      <w:r>
        <w:rPr>
          <w:spacing w:val="1"/>
        </w:rPr>
        <w:t xml:space="preserve"> </w:t>
      </w:r>
      <w:r>
        <w:t>of</w:t>
      </w:r>
      <w:r>
        <w:rPr>
          <w:spacing w:val="1"/>
        </w:rPr>
        <w:t xml:space="preserve"> </w:t>
      </w:r>
      <w:r>
        <w:t>any</w:t>
      </w:r>
      <w:r>
        <w:rPr>
          <w:spacing w:val="1"/>
        </w:rPr>
        <w:t xml:space="preserve"> </w:t>
      </w:r>
      <w:r>
        <w:t>comprehensive</w:t>
      </w:r>
      <w:r>
        <w:rPr>
          <w:spacing w:val="1"/>
        </w:rPr>
        <w:t xml:space="preserve"> </w:t>
      </w:r>
      <w:r>
        <w:t>mechanism</w:t>
      </w:r>
      <w:r>
        <w:rPr>
          <w:spacing w:val="1"/>
        </w:rPr>
        <w:t xml:space="preserve"> </w:t>
      </w:r>
      <w:r>
        <w:t>to</w:t>
      </w:r>
      <w:r>
        <w:rPr>
          <w:spacing w:val="1"/>
        </w:rPr>
        <w:t xml:space="preserve"> </w:t>
      </w:r>
      <w:r>
        <w:t>increase</w:t>
      </w:r>
      <w:r>
        <w:rPr>
          <w:spacing w:val="1"/>
        </w:rPr>
        <w:t xml:space="preserve"> </w:t>
      </w:r>
      <w:r>
        <w:t>transparency</w:t>
      </w:r>
      <w:r>
        <w:rPr>
          <w:spacing w:val="1"/>
        </w:rPr>
        <w:t xml:space="preserve"> </w:t>
      </w:r>
      <w:r>
        <w:t>of</w:t>
      </w:r>
      <w:r>
        <w:rPr>
          <w:spacing w:val="1"/>
        </w:rPr>
        <w:t xml:space="preserve"> </w:t>
      </w:r>
      <w:r>
        <w:t>corporate vehicles. It is particularly important to extend these requirements to businesses and</w:t>
      </w:r>
      <w:r>
        <w:rPr>
          <w:spacing w:val="1"/>
        </w:rPr>
        <w:t xml:space="preserve"> </w:t>
      </w:r>
      <w:r>
        <w:t>professions which are often involved in the creation and management of corporate vehicles (including TCSPs, lawyers,</w:t>
      </w:r>
      <w:r>
        <w:rPr>
          <w:spacing w:val="-1"/>
        </w:rPr>
        <w:t xml:space="preserve"> </w:t>
      </w:r>
      <w:r>
        <w:t xml:space="preserve">notaries, and accountants). A regulated FI/DNFBP regime would include an effective sanctioning regime for offences such as failing to update information in a timely manner, failing to supply information and submitting inaccurate information to authorities, which is effectively enforced. </w:t>
      </w:r>
    </w:p>
    <w:p w14:paraId="6E683AAE" w14:textId="77777777" w:rsidR="00EC6B4B" w:rsidRDefault="001305B9">
      <w:pPr>
        <w:pStyle w:val="Para"/>
      </w:pPr>
      <w:r>
        <w:t>While beneficial ownership information will be made available by other approaches (see section 5 on multi-pronged approach), the</w:t>
      </w:r>
      <w:r>
        <w:rPr>
          <w:spacing w:val="1"/>
        </w:rPr>
        <w:t xml:space="preserve"> </w:t>
      </w:r>
      <w:r>
        <w:t>availability</w:t>
      </w:r>
      <w:r>
        <w:rPr>
          <w:spacing w:val="1"/>
        </w:rPr>
        <w:t xml:space="preserve"> </w:t>
      </w:r>
      <w:r>
        <w:t>of</w:t>
      </w:r>
      <w:r>
        <w:rPr>
          <w:spacing w:val="1"/>
        </w:rPr>
        <w:t xml:space="preserve"> </w:t>
      </w:r>
      <w:r>
        <w:t>such</w:t>
      </w:r>
      <w:r>
        <w:rPr>
          <w:spacing w:val="1"/>
        </w:rPr>
        <w:t xml:space="preserve"> </w:t>
      </w:r>
      <w:r>
        <w:t>information, however, does not exempt FIs and DNFBPs from their obligations under Recommendations 10 and 22 respectively. They should, in any case, not rely exclusively on such information when conducting CDD.</w:t>
      </w:r>
    </w:p>
    <w:p w14:paraId="2FA00A4A" w14:textId="77777777" w:rsidR="00EC6B4B" w:rsidRDefault="001305B9">
      <w:pPr>
        <w:pStyle w:val="Heading1"/>
        <w:rPr>
          <w:rFonts w:cs="Times New Roman"/>
          <w:szCs w:val="24"/>
          <w:u w:color="000000"/>
          <w:lang w:eastAsia="de-AT"/>
        </w:rPr>
      </w:pPr>
      <w:bookmarkStart w:id="525" w:name="_Toc117503091"/>
      <w:r>
        <w:t>Access to information</w:t>
      </w:r>
      <w:bookmarkEnd w:id="525"/>
    </w:p>
    <w:p w14:paraId="29B79412" w14:textId="77777777" w:rsidR="00EC6B4B" w:rsidRDefault="001305B9">
      <w:pPr>
        <w:pStyle w:val="Heading2"/>
      </w:pPr>
      <w:bookmarkStart w:id="526" w:name="_Toc117503092"/>
      <w:r>
        <w:t>Access by competent authorities</w:t>
      </w:r>
      <w:bookmarkEnd w:id="526"/>
    </w:p>
    <w:p w14:paraId="02B8528E" w14:textId="77777777" w:rsidR="00EC6B4B" w:rsidRDefault="001305B9">
      <w:pPr>
        <w:pStyle w:val="Para"/>
      </w:pPr>
      <w:r>
        <w:t xml:space="preserve">Competent authorities, particularly LEAs and FIUs, should have all the powers necessary for obtaining timely access to basic and beneficial ownership information held by relevant parties, although the characteristics of such access may vary depending on the party holding the information. </w:t>
      </w:r>
    </w:p>
    <w:p w14:paraId="7443C728" w14:textId="77777777" w:rsidR="00EC6B4B" w:rsidRDefault="001305B9">
      <w:pPr>
        <w:pStyle w:val="Para"/>
      </w:pPr>
      <w:r>
        <w:t xml:space="preserve">In the case of basic and beneficial ownership information held or obtained by a public authority or body, or through an alternative mechanism, access should be rapid and efficient, which means that it should be quick and reliable, without undue delay or impediment. Competent authorities should have sufficient knowledge of which public authority or body or alternative mechanism holds adequate, accurate, and up-to-date basic and beneficial ownership information, and how to access that information. In the case of basic and beneficial ownership information held by companies, it should be possible for law enforcement authorities and, where the national framework allows it, other competent authorities to timely access it, with the full cooperation of the company itself. It is recognised that such access would be most common in the context of investigations, and generally subject to the issuance of a production order or equivalent imposing the disclosure of the information to the competent authority.  Lastly, competent authorities should have sufficient knowledge of which additional supplementary measures (as discussed in section 12 above) are available to them for access to basic and beneficial ownership information as needed. </w:t>
      </w:r>
    </w:p>
    <w:p w14:paraId="673C44DD" w14:textId="77777777" w:rsidR="00EC6B4B" w:rsidRDefault="001305B9">
      <w:pPr>
        <w:pStyle w:val="Para"/>
      </w:pPr>
      <w:r>
        <w:t>The parties that hold relevant information should understand their disclosure obligations, fully cooperate with competent authorities, and provide the information as quickly as possible. In implementing this requirement, countries should ensure that there is a clear legal or regulatory framework that authorises such access and disclosure and protects, where necessary, the source(s) of information from liability for authorised disclosures.</w:t>
      </w:r>
    </w:p>
    <w:p w14:paraId="0E2AC275" w14:textId="77777777" w:rsidR="00EC6B4B" w:rsidRDefault="001305B9">
      <w:pPr>
        <w:pStyle w:val="Heading2"/>
      </w:pPr>
      <w:bookmarkStart w:id="527" w:name="_Toc117503093"/>
      <w:r>
        <w:t>Access in the course of public procurement</w:t>
      </w:r>
      <w:bookmarkEnd w:id="527"/>
    </w:p>
    <w:p w14:paraId="1972B2C3" w14:textId="77777777" w:rsidR="00EC6B4B" w:rsidRDefault="001305B9">
      <w:pPr>
        <w:pStyle w:val="Para"/>
      </w:pPr>
      <w:r>
        <w:t>In addition, countries should ensure that public authorities at the national level and others as appropriate have the powers necessary to be able to obtain timely access to basic and beneficial ownership information on legal persons in the course of public procurement. Below are some considerations when implementing this requirement:</w:t>
      </w:r>
    </w:p>
    <w:p w14:paraId="6040956A" w14:textId="77777777" w:rsidR="00EC6B4B" w:rsidRDefault="001305B9">
      <w:pPr>
        <w:pStyle w:val="ListParagraph"/>
        <w:numPr>
          <w:ilvl w:val="0"/>
          <w:numId w:val="36"/>
        </w:numPr>
        <w:autoSpaceDE w:val="0"/>
        <w:autoSpaceDN w:val="0"/>
        <w:spacing w:before="120" w:after="120"/>
        <w:ind w:left="714" w:hanging="357"/>
      </w:pPr>
      <w:r>
        <w:rPr>
          <w:b/>
          <w:bCs/>
        </w:rPr>
        <w:t xml:space="preserve">Framework: </w:t>
      </w:r>
      <w:r>
        <w:t>Countries should ensure that there is a framework that enables/authorises public authorities at the national level and others as appropriate to have timely access to basic and beneficial ownership information on legal persons bidding on contracts (i.e., contract bidders) and those awarded contracts (i.e., contract recipients). There are several ways in which such a requirement can be implemented.</w:t>
      </w:r>
    </w:p>
    <w:p w14:paraId="28B0F4A7" w14:textId="77777777" w:rsidR="00EC6B4B" w:rsidRDefault="001305B9">
      <w:pPr>
        <w:pStyle w:val="ListParagraph"/>
        <w:numPr>
          <w:ilvl w:val="1"/>
          <w:numId w:val="37"/>
        </w:numPr>
        <w:autoSpaceDE w:val="0"/>
        <w:autoSpaceDN w:val="0"/>
        <w:spacing w:before="120" w:after="120"/>
        <w:ind w:left="1259"/>
        <w:contextualSpacing w:val="0"/>
      </w:pPr>
      <w:r>
        <w:t>Make it a requirement for participation in public procurement that contract bidders and recipients provide basic and beneficial ownership information</w:t>
      </w:r>
      <w:r>
        <w:rPr>
          <w:vertAlign w:val="superscript"/>
        </w:rPr>
        <w:footnoteReference w:id="59"/>
      </w:r>
      <w:r>
        <w:rPr>
          <w:vertAlign w:val="superscript"/>
        </w:rPr>
        <w:t xml:space="preserve"> </w:t>
      </w:r>
      <w:r>
        <w:t>directly or indirectly (e.g. through an extract of the relevant registry) to relevant public procurement authorities. Where contract bidders and recipients provide basic and beneficial ownership information directly to relevant public procurement authorities, countries may provide relevant public authorities with access to information held in a registry (or registries) or an alternative mechanism as well as through any additional supplementary measures (see sections 10-12), including for any verification needs as appropriate, in the course of public procurement.</w:t>
      </w:r>
    </w:p>
    <w:p w14:paraId="27A668C9" w14:textId="77777777" w:rsidR="00EC6B4B" w:rsidRDefault="001305B9">
      <w:pPr>
        <w:pStyle w:val="ListParagraph"/>
        <w:numPr>
          <w:ilvl w:val="1"/>
          <w:numId w:val="37"/>
        </w:numPr>
        <w:autoSpaceDE w:val="0"/>
        <w:autoSpaceDN w:val="0"/>
        <w:spacing w:before="120" w:after="120"/>
        <w:ind w:left="1259"/>
        <w:contextualSpacing w:val="0"/>
      </w:pPr>
      <w:r>
        <w:t xml:space="preserve">Provide relevant public procurement authorities with access to basic and beneficial ownership information in respect of contract bidders and recipients held by a public authority or body (including by accessing beneficial ownership information held by public registry or registries) or an alternative mechanism, as well as through any additional supplementary measures (see sections 10-12), including for any verification needs as appropriate, in the course of public procurement. </w:t>
      </w:r>
      <w:bookmarkStart w:id="528" w:name="_Hlk106829713"/>
    </w:p>
    <w:bookmarkEnd w:id="528"/>
    <w:p w14:paraId="360EB0C0" w14:textId="77777777" w:rsidR="00EC6B4B" w:rsidRDefault="001305B9">
      <w:pPr>
        <w:pStyle w:val="ListParagraph"/>
        <w:numPr>
          <w:ilvl w:val="1"/>
          <w:numId w:val="37"/>
        </w:numPr>
        <w:autoSpaceDE w:val="0"/>
        <w:autoSpaceDN w:val="0"/>
        <w:spacing w:before="120" w:after="120"/>
        <w:ind w:left="1259"/>
        <w:contextualSpacing w:val="0"/>
        <w:rPr>
          <w:rFonts w:ascii="Cambria" w:hAnsi="Cambria"/>
        </w:rPr>
      </w:pPr>
      <w:r>
        <w:t>Permit relevant public authorities to rely upon other publicly-available basic and beneficial ownership information on contract bidders and recipients, e.g. information held in a database on procurement contractors. Such information needs to be adequate, accurate and up-to-date.</w:t>
      </w:r>
    </w:p>
    <w:p w14:paraId="6C9F8565" w14:textId="77777777" w:rsidR="00EC6B4B" w:rsidRDefault="001305B9">
      <w:pPr>
        <w:pStyle w:val="Para"/>
        <w:numPr>
          <w:ilvl w:val="0"/>
          <w:numId w:val="0"/>
        </w:numPr>
        <w:ind w:left="680"/>
      </w:pPr>
      <w:r>
        <w:t xml:space="preserve">Regardless of the measure(s) used to fulfil this requirement, countries should ensure that the legal framework protects, where necessary, the source(s) of information from liability for authorized disclosures.  </w:t>
      </w:r>
    </w:p>
    <w:p w14:paraId="3ECD771E" w14:textId="77777777" w:rsidR="00EC6B4B" w:rsidRDefault="001305B9">
      <w:pPr>
        <w:pStyle w:val="ListParagraph"/>
        <w:numPr>
          <w:ilvl w:val="0"/>
          <w:numId w:val="36"/>
        </w:numPr>
        <w:autoSpaceDE w:val="0"/>
        <w:autoSpaceDN w:val="0"/>
        <w:spacing w:before="120" w:after="120"/>
        <w:ind w:left="714" w:hanging="357"/>
      </w:pPr>
      <w:r>
        <w:rPr>
          <w:b/>
          <w:bCs/>
        </w:rPr>
        <w:t>Operational considerations:</w:t>
      </w:r>
      <w:r>
        <w:t xml:space="preserve"> Operationally, countries should ensure that the relevant public authorities have sufficient knowledge of which source(s) of basic and beneficial ownership information is available to them in the course of public procurement, and how to access that information. Irrespective of the source of the information (whether it is the contract bidder(s), register(s), etc.), countries should ensure that the parties understand their disclosure obligations and facilitate timely access to adequate, accurate, and up-to-date information. With respect to specific scoping questions (e.g. whether the requirement should only apply to contracts over a certain value threshold), countries should rely upon existing public procurement and any other relevant frameworks and processes and decide on these questions on the basis of risk, context and materiality. Countries may consider making beneficial ownership information of contract recipients publicly available, especially if their public procurement framework already provides public access to awarded procurement contracts.</w:t>
      </w:r>
    </w:p>
    <w:p w14:paraId="6B5F8473" w14:textId="77777777" w:rsidR="00EC6B4B" w:rsidRDefault="001305B9">
      <w:pPr>
        <w:pStyle w:val="Heading2"/>
      </w:pPr>
      <w:bookmarkStart w:id="529" w:name="_Toc117503094"/>
      <w:r>
        <w:t>Access by FIs, DNFBPs, other countries’ competent authorities, and general public</w:t>
      </w:r>
      <w:r>
        <w:rPr>
          <w:rStyle w:val="FootnoteReference"/>
          <w:rFonts w:ascii="Cambria" w:hAnsi="Cambria" w:cstheme="minorBidi"/>
        </w:rPr>
        <w:footnoteReference w:id="60"/>
      </w:r>
      <w:bookmarkEnd w:id="529"/>
    </w:p>
    <w:p w14:paraId="4A6925B7" w14:textId="77777777" w:rsidR="00EC6B4B" w:rsidRDefault="001305B9">
      <w:pPr>
        <w:pStyle w:val="Para"/>
        <w:rPr>
          <w:rFonts w:ascii="Cambria" w:hAnsi="Cambria"/>
          <w:color w:val="000000" w:themeColor="text1"/>
        </w:rPr>
      </w:pPr>
      <w:r>
        <w:t>Countries should require that their company registry(ies) provides or facilitates timely access by FIs, DNFBPs and other countries’ competent authorities to the public information they hold, and, at a minimum, to the following basic information on legal persons (cross-reference to section on basic information): company name, proof of incorporation, legal form and status, the address of the registered office, basic regulating powers (e.g., memorandum and articles of association), a list of directors, and a unique identifier such as a tax identification number or equivalent (where this exists).</w:t>
      </w:r>
      <w:r>
        <w:rPr>
          <w:rStyle w:val="FootnoteReference"/>
          <w:rFonts w:ascii="Cambria" w:hAnsi="Cambria"/>
          <w:color w:val="000000" w:themeColor="text1"/>
        </w:rPr>
        <w:footnoteReference w:id="61"/>
      </w:r>
    </w:p>
    <w:p w14:paraId="3ED8B3B9" w14:textId="77777777" w:rsidR="00EC6B4B" w:rsidRDefault="001305B9">
      <w:pPr>
        <w:pStyle w:val="Para"/>
        <w:rPr>
          <w:color w:val="000000" w:themeColor="text1"/>
        </w:rPr>
      </w:pPr>
      <w:r>
        <w:rPr>
          <w:color w:val="000000" w:themeColor="text1"/>
        </w:rPr>
        <w:t>Countries should also consider facilitating timely access by FIs and DNFBPs to the following additional information on legal persons to facilitate compliance with CDD obligations, and support supplementary verification efforts, such as discrepancy reporting (see section 7 on accurate information):</w:t>
      </w:r>
    </w:p>
    <w:p w14:paraId="1A739CAC" w14:textId="77777777" w:rsidR="00EC6B4B" w:rsidRDefault="001305B9">
      <w:pPr>
        <w:pStyle w:val="ListParagraph"/>
        <w:numPr>
          <w:ilvl w:val="0"/>
          <w:numId w:val="38"/>
        </w:numPr>
        <w:autoSpaceDE w:val="0"/>
        <w:autoSpaceDN w:val="0"/>
        <w:spacing w:before="120" w:after="120"/>
        <w:contextualSpacing w:val="0"/>
        <w:rPr>
          <w:color w:val="000000" w:themeColor="text1"/>
        </w:rPr>
      </w:pPr>
      <w:r>
        <w:rPr>
          <w:color w:val="000000" w:themeColor="text1"/>
        </w:rPr>
        <w:t>a register of the shareholders or members, containing the names of the shareholders and members, the number of shares held by each shareholder</w:t>
      </w:r>
      <w:r>
        <w:rPr>
          <w:rStyle w:val="FootnoteReference"/>
          <w:color w:val="000000" w:themeColor="text1"/>
        </w:rPr>
        <w:footnoteReference w:id="62"/>
      </w:r>
      <w:r>
        <w:rPr>
          <w:color w:val="000000" w:themeColor="text1"/>
        </w:rPr>
        <w:t xml:space="preserve"> and the categories of shares (including the nature of the associated voting rights); and </w:t>
      </w:r>
    </w:p>
    <w:p w14:paraId="604E2B81" w14:textId="77777777" w:rsidR="00EC6B4B" w:rsidRDefault="001305B9">
      <w:pPr>
        <w:pStyle w:val="ListParagraph"/>
        <w:numPr>
          <w:ilvl w:val="0"/>
          <w:numId w:val="38"/>
        </w:numPr>
        <w:autoSpaceDE w:val="0"/>
        <w:autoSpaceDN w:val="0"/>
        <w:spacing w:before="120" w:after="120"/>
        <w:contextualSpacing w:val="0"/>
        <w:rPr>
          <w:rStyle w:val="CommentReference"/>
          <w:color w:val="000000" w:themeColor="text1"/>
        </w:rPr>
      </w:pPr>
      <w:r>
        <w:rPr>
          <w:color w:val="000000" w:themeColor="text1"/>
        </w:rPr>
        <w:t xml:space="preserve">beneficial ownership information </w:t>
      </w:r>
      <w:r>
        <w:t xml:space="preserve">held in a registry(ies) or through an alternative mechanism, as well as through any additional supplementary measures (discussed in </w:t>
      </w:r>
      <w:r>
        <w:rPr>
          <w:color w:val="000000" w:themeColor="text1"/>
        </w:rPr>
        <w:t>sections 10-12</w:t>
      </w:r>
      <w:r>
        <w:t xml:space="preserve"> above).</w:t>
      </w:r>
    </w:p>
    <w:p w14:paraId="31E7D678" w14:textId="77777777" w:rsidR="00EC6B4B" w:rsidRDefault="001305B9">
      <w:pPr>
        <w:pStyle w:val="Para"/>
      </w:pPr>
      <w:r>
        <w:rPr>
          <w:color w:val="000000" w:themeColor="text1"/>
        </w:rPr>
        <w:t>Finally, countries may consider facilitating public access to basic and beneficial ownership information. Public access to this information can enable civil society, other organisations and individuals to cross check the information, which may in turn help to; ensure that information is accurate, adequate, and up-to-date and to identify potential misuse of legal persons (e.g., in tax evasion, fraud, or corruption schemes. However, public access alone is not a sufficient mechanism to ensure accuracy of information. In contemplating the extent and arrangement of public access, countries should take into account data protection rules and other privacy, security, and confidentiality concerns, and consider limiting what basic and beneficial ownership information is made publicly available or applying a tiered approach to information disclosure, e.g. based on legitimate interest.</w:t>
      </w:r>
    </w:p>
    <w:p w14:paraId="261B94EF" w14:textId="77777777" w:rsidR="00EC6B4B" w:rsidRDefault="001305B9">
      <w:pPr>
        <w:pStyle w:val="Heading2"/>
      </w:pPr>
      <w:bookmarkStart w:id="530" w:name="_Toc117503095"/>
      <w:r>
        <w:t>Cost of access</w:t>
      </w:r>
      <w:bookmarkEnd w:id="530"/>
    </w:p>
    <w:p w14:paraId="0B2D586A" w14:textId="77777777" w:rsidR="00EC6B4B" w:rsidRDefault="001305B9">
      <w:pPr>
        <w:pStyle w:val="Para"/>
        <w:rPr>
          <w:b/>
          <w:bCs/>
          <w:color w:val="348092"/>
        </w:rPr>
      </w:pPr>
      <w:r>
        <w:t xml:space="preserve">If </w:t>
      </w:r>
      <w:r>
        <w:rPr>
          <w:color w:val="000000" w:themeColor="text1"/>
        </w:rPr>
        <w:t>contemplating</w:t>
      </w:r>
      <w:r>
        <w:t xml:space="preserve"> a fee structure for access to basic and beneficial ownership information, countries should ensure that such a system, as a general matter, would not create unnecessary delays or obstacles to the efficient and rapid access to basic and beneficial ownership information that competent authorities should have. In the absence of a compelling case, it would be good practice to ensure that competent authorities and public authorities at the national level and others as appropriate in the course of public procurement can access this information free of charge. For others, to help foster the objective of making information sufficiently available, it would be good practice that a fee structure is proportionate to or does not exceed the administrative costs of making the information available, including costs of maintenance and future developments of the register or alternative mechanism.</w:t>
      </w:r>
    </w:p>
    <w:p w14:paraId="65A587D6" w14:textId="77777777" w:rsidR="00EC6B4B" w:rsidRDefault="001305B9">
      <w:pPr>
        <w:pStyle w:val="Heading1"/>
        <w:rPr>
          <w:rFonts w:cs="Times New Roman"/>
          <w:szCs w:val="24"/>
          <w:u w:color="000000"/>
          <w:lang w:eastAsia="de-AT"/>
        </w:rPr>
      </w:pPr>
      <w:bookmarkStart w:id="531" w:name="_Toc117503096"/>
      <w:r>
        <w:t>Mechanisms for preventing and mitigating risk of the misuse of bearer shares and bearer share warrants</w:t>
      </w:r>
      <w:bookmarkEnd w:id="531"/>
      <w:r>
        <w:rPr>
          <w:rFonts w:cs="Times New Roman"/>
          <w:szCs w:val="24"/>
          <w:u w:color="000000"/>
          <w:lang w:eastAsia="de-AT"/>
        </w:rPr>
        <w:t xml:space="preserve"> </w:t>
      </w:r>
    </w:p>
    <w:p w14:paraId="1A5918D3" w14:textId="77777777" w:rsidR="00EC6B4B" w:rsidRDefault="001305B9">
      <w:pPr>
        <w:pStyle w:val="Para"/>
        <w:rPr>
          <w:color w:val="000000" w:themeColor="text1"/>
        </w:rPr>
      </w:pPr>
      <w:r>
        <w:t>Recommendation</w:t>
      </w:r>
      <w:r>
        <w:rPr>
          <w:color w:val="000000" w:themeColor="text1"/>
        </w:rPr>
        <w:t xml:space="preserve"> 24 and its Interpretative Note specify that countries should not permit legal persons to issue new bearer shares or bearer share warrants, and take measures to prevent the misuse of existing bearer shares and bearer share warrants. Any existing bearer shares or bearer share warrant should be converted into a registered form or for them to be immobilised. </w:t>
      </w:r>
    </w:p>
    <w:p w14:paraId="671A28B2" w14:textId="77777777" w:rsidR="00EC6B4B" w:rsidRDefault="001305B9">
      <w:pPr>
        <w:pStyle w:val="Heading2"/>
      </w:pPr>
      <w:bookmarkStart w:id="532" w:name="_Toc117503097"/>
      <w:r>
        <w:t>Definitions</w:t>
      </w:r>
      <w:bookmarkEnd w:id="532"/>
    </w:p>
    <w:p w14:paraId="719830E4" w14:textId="77777777" w:rsidR="00EC6B4B" w:rsidRDefault="001305B9">
      <w:pPr>
        <w:pStyle w:val="Para"/>
      </w:pPr>
      <w:r>
        <w:t xml:space="preserve">Bearer shares and bearer share warrants are described in the FATF Glossary as follows: </w:t>
      </w:r>
    </w:p>
    <w:tbl>
      <w:tblPr>
        <w:tblStyle w:val="TableGrid"/>
        <w:tblW w:w="9309" w:type="dxa"/>
        <w:jc w:val="center"/>
        <w:tblBorders>
          <w:top w:val="single" w:sz="6" w:space="0" w:color="4E81BD" w:themeColor="accent1"/>
          <w:left w:val="single" w:sz="6" w:space="0" w:color="4E81BD" w:themeColor="accent1"/>
          <w:bottom w:val="single" w:sz="6" w:space="0" w:color="4E81BD" w:themeColor="accent1"/>
          <w:right w:val="single" w:sz="6" w:space="0" w:color="4E81BD" w:themeColor="accent1"/>
          <w:insideH w:val="single" w:sz="6" w:space="0" w:color="4E81BD" w:themeColor="accent1"/>
          <w:insideV w:val="single" w:sz="6"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EC6B4B" w14:paraId="04997D26" w14:textId="77777777">
        <w:trPr>
          <w:jc w:val="center"/>
        </w:trPr>
        <w:tc>
          <w:tcPr>
            <w:tcW w:w="9309" w:type="dxa"/>
            <w:shd w:val="clear" w:color="auto" w:fill="EEECE1" w:themeFill="accent3"/>
          </w:tcPr>
          <w:p w14:paraId="7698A12C" w14:textId="77777777" w:rsidR="00EC6B4B" w:rsidRDefault="001305B9">
            <w:pPr>
              <w:pStyle w:val="Caption"/>
              <w:keepNext w:val="0"/>
              <w:spacing w:line="320" w:lineRule="exact"/>
              <w:rPr>
                <w:b w:val="0"/>
              </w:rPr>
            </w:pPr>
            <w:r>
              <w:t>Box </w:t>
            </w:r>
            <w:r>
              <w:rPr>
                <w:b w:val="0"/>
                <w:noProof/>
              </w:rPr>
              <w:fldChar w:fldCharType="begin"/>
            </w:r>
            <w:r>
              <w:rPr>
                <w:noProof/>
              </w:rPr>
              <w:instrText xml:space="preserve"> SEQ Box \* ARABIC </w:instrText>
            </w:r>
            <w:r>
              <w:rPr>
                <w:b w:val="0"/>
                <w:noProof/>
              </w:rPr>
              <w:fldChar w:fldCharType="separate"/>
            </w:r>
            <w:r w:rsidR="00CF7A67">
              <w:rPr>
                <w:noProof/>
              </w:rPr>
              <w:t>4</w:t>
            </w:r>
            <w:r>
              <w:rPr>
                <w:b w:val="0"/>
                <w:noProof/>
              </w:rPr>
              <w:fldChar w:fldCharType="end"/>
            </w:r>
            <w:r>
              <w:t>. Definition of ‘bearer shares’ and ‘bearer share warrants’ from the Glossary to the FATF Recommendations</w:t>
            </w:r>
          </w:p>
          <w:p w14:paraId="586C090C" w14:textId="77777777" w:rsidR="00EC6B4B" w:rsidRDefault="001305B9">
            <w:pPr>
              <w:pStyle w:val="BoxHeading"/>
              <w:spacing w:before="180"/>
              <w:jc w:val="both"/>
            </w:pPr>
            <w:r>
              <w:rPr>
                <w:i/>
                <w:iCs/>
              </w:rPr>
              <w:t>Bearer shares</w:t>
            </w:r>
            <w:r>
              <w:t xml:space="preserve"> refers to negotiable instruments that accord ownership in a legal person to the person who possesses the physical bearer share certificate, and any other similar instruments without traceability. It does not refer to dematerialized and/or registered forms of share certificate whose owner can be identified. </w:t>
            </w:r>
          </w:p>
          <w:p w14:paraId="43A3F923" w14:textId="77777777" w:rsidR="00EC6B4B" w:rsidRDefault="001305B9">
            <w:pPr>
              <w:pStyle w:val="BoxHeading"/>
              <w:spacing w:before="180"/>
              <w:jc w:val="both"/>
            </w:pPr>
            <w:r>
              <w:rPr>
                <w:i/>
                <w:iCs/>
              </w:rPr>
              <w:t>Bearer share warrants</w:t>
            </w:r>
            <w:r>
              <w:t xml:space="preserve"> refers to negotiable instruments that accord entitlement to ownership in a legal person who possesses the physical bearer share warrant certificate, and any other similar warrants or instruments without traceability. It does not refer to dematerialized and/or registered form of warrants or other instruments whose owner can be identified. It also does not refer any other instruments that only confers a right to subscribe for ownership in a legal person at specified conditions, but not ownership or entitlement to ownership, unless and until the instruments are exercised.</w:t>
            </w:r>
          </w:p>
        </w:tc>
      </w:tr>
    </w:tbl>
    <w:p w14:paraId="0F62CE95" w14:textId="77777777" w:rsidR="00EC6B4B" w:rsidRDefault="001305B9">
      <w:pPr>
        <w:pStyle w:val="Para"/>
      </w:pPr>
      <w:r>
        <w:t>The key features of bearer shares and bearer share warrants are as follows:</w:t>
      </w:r>
    </w:p>
    <w:p w14:paraId="5C9BF14F" w14:textId="77777777" w:rsidR="00EC6B4B" w:rsidRDefault="001305B9">
      <w:pPr>
        <w:pStyle w:val="BulletedList"/>
      </w:pPr>
      <w:r>
        <w:t>Physical bearer share certificate or physical bearer share warrant certificate; and</w:t>
      </w:r>
    </w:p>
    <w:p w14:paraId="658552F7" w14:textId="77777777" w:rsidR="00EC6B4B" w:rsidRDefault="001305B9">
      <w:pPr>
        <w:pStyle w:val="BulletedList"/>
      </w:pPr>
      <w:r>
        <w:t>Untraceable ownership.</w:t>
      </w:r>
    </w:p>
    <w:p w14:paraId="46CCC3D1" w14:textId="77777777" w:rsidR="00EC6B4B" w:rsidRDefault="001305B9">
      <w:pPr>
        <w:pStyle w:val="Para"/>
        <w:rPr>
          <w:rFonts w:ascii="Cambria" w:hAnsi="Cambria"/>
        </w:rPr>
      </w:pPr>
      <w:r>
        <w:t>The term also covers other similar instruments or warrants without traceability. Bearer shares and bearer warrants present increased risk of money laundering and terrorist financing due to the concealment of the ownership of the certificates. However, it does not cover newly issued and existing bearer shares or bearer share warrants of a company listed on a stock exchange and subject to disclosure requirement (either by stock exchange rules or through law or enforceable means) which impose requirements to ensure adequate transparency of beneficial ownership</w:t>
      </w:r>
      <w:r>
        <w:rPr>
          <w:rStyle w:val="FootnoteReference"/>
          <w:rFonts w:ascii="Cambria" w:hAnsi="Cambria"/>
        </w:rPr>
        <w:footnoteReference w:id="63"/>
      </w:r>
      <w:r>
        <w:rPr>
          <w:rFonts w:ascii="Cambria" w:hAnsi="Cambria"/>
        </w:rPr>
        <w:t>.</w:t>
      </w:r>
    </w:p>
    <w:p w14:paraId="38810CF5" w14:textId="77777777" w:rsidR="00EC6B4B" w:rsidRDefault="001305B9">
      <w:pPr>
        <w:pStyle w:val="Heading2"/>
      </w:pPr>
      <w:bookmarkStart w:id="533" w:name="_Toc117503098"/>
      <w:r>
        <w:t>Variations of bearer shares and bearer share warrants</w:t>
      </w:r>
      <w:bookmarkEnd w:id="533"/>
    </w:p>
    <w:p w14:paraId="49DAD949" w14:textId="77777777" w:rsidR="00EC6B4B" w:rsidRDefault="001305B9">
      <w:pPr>
        <w:pStyle w:val="Para"/>
      </w:pPr>
      <w:r>
        <w:t xml:space="preserve">Legal persons and arrangements in certain jurisdictions may have features similar to those of bearer share warrants but may not fall into the description for the following reasons: </w:t>
      </w:r>
    </w:p>
    <w:p w14:paraId="6BCEADE4" w14:textId="77777777" w:rsidR="00EC6B4B" w:rsidRDefault="001305B9">
      <w:pPr>
        <w:pStyle w:val="ListParagraph"/>
        <w:numPr>
          <w:ilvl w:val="0"/>
          <w:numId w:val="39"/>
        </w:numPr>
        <w:autoSpaceDE w:val="0"/>
        <w:autoSpaceDN w:val="0"/>
        <w:spacing w:before="123"/>
      </w:pPr>
      <w:r>
        <w:t xml:space="preserve">Firstly, a physical bearer negotiable instrument which is dematerialised (change of the form of shares from physical certificates to electronic records) and/or registered, would not fall within the scope of Recommendation 24 where an identification of the owner of the instrument is possible, should the instrument be evidenced in the name of the owner or of a nominee. For instance, if all financial securities are </w:t>
      </w:r>
      <w:r>
        <w:rPr>
          <w:i/>
        </w:rPr>
        <w:t>de lege</w:t>
      </w:r>
      <w:r>
        <w:t xml:space="preserve"> dematerialised securities (i.e. no physical certificate is issued)</w:t>
      </w:r>
      <w:r>
        <w:rPr>
          <w:rStyle w:val="FootnoteReference"/>
        </w:rPr>
        <w:footnoteReference w:id="64"/>
      </w:r>
      <w:r>
        <w:t>, bearer securities are, in principle, evidenced by a book entry in the name of their owner</w:t>
      </w:r>
      <w:r>
        <w:rPr>
          <w:rStyle w:val="FootnoteReference"/>
        </w:rPr>
        <w:footnoteReference w:id="65"/>
      </w:r>
      <w:r>
        <w:t xml:space="preserve"> in a register held by an authorised financial intermediary called the custodian. This is in contrast to registered securities which are recorded directly in the books of the issuer; </w:t>
      </w:r>
    </w:p>
    <w:p w14:paraId="72F20500" w14:textId="77777777" w:rsidR="00EC6B4B" w:rsidRDefault="001305B9">
      <w:pPr>
        <w:pStyle w:val="ListParagraph"/>
        <w:numPr>
          <w:ilvl w:val="0"/>
          <w:numId w:val="39"/>
        </w:numPr>
        <w:autoSpaceDE w:val="0"/>
        <w:autoSpaceDN w:val="0"/>
        <w:spacing w:before="123"/>
      </w:pPr>
      <w:r>
        <w:t xml:space="preserve">Secondly, when a physical bearer negotiable instrument certificate does exist, it may fall within the scope of Recommendation 24 only when no mechanism exists under applicable law to ensure the traceability of such bearer share. It may not fall within the scope of this recommendation if the identity of the owner of the share or the share warrant must be registered with an intermediary under applicable law, which gives the right to the latter to reveal the identity of the bearer share or bearer share warrant to an issuer. This happens in very limited circumstances, including when shares are listed on the stock exchange or the claim to individual certification of the ownership interest is precluded, and the shares are in all instances immobilised either in a securities’ clearing and deposit bank or a depository, in particular an accredited central securities depository or a recognised third-country central securities depository. Therefore, the issuer will then be able to trace the relevant shareholdings through the chain down to the individual shareholder by rules for capital market disclosure or provisions that establish a right to obtain such information from intermediaries. In other examples, materialised certificates may be created and held by a central securities depository only in relation to depositary receipts representing securities that are meant to be held exclusively outside a national territory. The traceability of these certificates is ensured by the central securities depository. </w:t>
      </w:r>
    </w:p>
    <w:p w14:paraId="49B6D6E6" w14:textId="77777777" w:rsidR="00EC6B4B" w:rsidRDefault="001305B9">
      <w:pPr>
        <w:pStyle w:val="Heading2"/>
      </w:pPr>
      <w:bookmarkStart w:id="534" w:name="_Toc117503099"/>
      <w:r>
        <w:t>Range of conversion/immobilisation measures</w:t>
      </w:r>
      <w:bookmarkEnd w:id="534"/>
    </w:p>
    <w:p w14:paraId="065EFFD0" w14:textId="77777777" w:rsidR="00EC6B4B" w:rsidRDefault="001305B9">
      <w:pPr>
        <w:pStyle w:val="Para"/>
      </w:pPr>
      <w:r>
        <w:t xml:space="preserve">In respect of existing bearer share, the standard requires countries to take measures to prevent and mitigate the risks by a range of conversion/immobilisation measures within a reasonable timeframe. </w:t>
      </w:r>
    </w:p>
    <w:p w14:paraId="05888244" w14:textId="77777777" w:rsidR="00EC6B4B" w:rsidRDefault="001305B9">
      <w:pPr>
        <w:pStyle w:val="Para"/>
      </w:pPr>
      <w:r>
        <w:t>In terms of conversion, the following types of measures could be considered depending on whether the bearer shares are held by a supervised intermediary or not:</w:t>
      </w:r>
    </w:p>
    <w:p w14:paraId="60FA2AEA" w14:textId="77777777" w:rsidR="00EC6B4B" w:rsidRDefault="001305B9">
      <w:pPr>
        <w:pStyle w:val="ListParagraph"/>
        <w:numPr>
          <w:ilvl w:val="0"/>
          <w:numId w:val="40"/>
        </w:numPr>
        <w:autoSpaceDE w:val="0"/>
        <w:autoSpaceDN w:val="0"/>
        <w:spacing w:before="120" w:after="120"/>
      </w:pPr>
      <w:r>
        <w:t xml:space="preserve">In the case of shares not held by an intermediary: </w:t>
      </w:r>
    </w:p>
    <w:p w14:paraId="784D4665" w14:textId="77777777" w:rsidR="00EC6B4B" w:rsidRDefault="001305B9">
      <w:pPr>
        <w:pStyle w:val="ListParagraph"/>
        <w:numPr>
          <w:ilvl w:val="0"/>
          <w:numId w:val="41"/>
        </w:numPr>
        <w:autoSpaceDE w:val="0"/>
        <w:autoSpaceDN w:val="0"/>
        <w:spacing w:before="120" w:after="120"/>
        <w:contextualSpacing w:val="0"/>
      </w:pPr>
      <w:r>
        <w:t>an obligation for the holder of the shares to have its shares intermediated with a supervised intermediary with a duty for the latter to identify the beneficial owner of the bearer shares; or</w:t>
      </w:r>
    </w:p>
    <w:p w14:paraId="47928667" w14:textId="77777777" w:rsidR="00EC6B4B" w:rsidRDefault="001305B9">
      <w:pPr>
        <w:pStyle w:val="ListParagraph"/>
        <w:numPr>
          <w:ilvl w:val="0"/>
          <w:numId w:val="41"/>
        </w:numPr>
        <w:autoSpaceDE w:val="0"/>
        <w:autoSpaceDN w:val="0"/>
        <w:spacing w:before="120" w:after="120"/>
        <w:contextualSpacing w:val="0"/>
      </w:pPr>
      <w:r>
        <w:t>an obligation for the issuer of the bearer shares to change its bylaws to allow only registered shares;</w:t>
      </w:r>
    </w:p>
    <w:p w14:paraId="5B3B050B" w14:textId="77777777" w:rsidR="00EC6B4B" w:rsidRDefault="001305B9">
      <w:pPr>
        <w:pStyle w:val="ListParagraph"/>
        <w:numPr>
          <w:ilvl w:val="0"/>
          <w:numId w:val="40"/>
        </w:numPr>
        <w:autoSpaceDE w:val="0"/>
        <w:autoSpaceDN w:val="0"/>
        <w:spacing w:before="120" w:after="120"/>
      </w:pPr>
      <w:r>
        <w:t xml:space="preserve">In the case of shares held by an intermediary, one of the following measures could be envisaged: </w:t>
      </w:r>
    </w:p>
    <w:p w14:paraId="023D58DB" w14:textId="77777777" w:rsidR="00EC6B4B" w:rsidRDefault="001305B9">
      <w:pPr>
        <w:pStyle w:val="ListParagraph"/>
        <w:numPr>
          <w:ilvl w:val="0"/>
          <w:numId w:val="42"/>
        </w:numPr>
        <w:autoSpaceDE w:val="0"/>
        <w:autoSpaceDN w:val="0"/>
        <w:spacing w:before="120" w:after="120"/>
        <w:contextualSpacing w:val="0"/>
      </w:pPr>
      <w:r>
        <w:t>the intermediary would be under the duty to identify the beneficial owner of the bearer shares; or</w:t>
      </w:r>
    </w:p>
    <w:p w14:paraId="06868594" w14:textId="77777777" w:rsidR="00EC6B4B" w:rsidRDefault="001305B9">
      <w:pPr>
        <w:pStyle w:val="ListParagraph"/>
        <w:numPr>
          <w:ilvl w:val="0"/>
          <w:numId w:val="42"/>
        </w:numPr>
        <w:autoSpaceDE w:val="0"/>
        <w:autoSpaceDN w:val="0"/>
        <w:spacing w:before="120" w:after="120"/>
        <w:contextualSpacing w:val="0"/>
      </w:pPr>
      <w:r>
        <w:t>the intermediary would be in charge of the conversion of the bearer shares into another format: dematerialised shares of registered shares.</w:t>
      </w:r>
    </w:p>
    <w:p w14:paraId="71BF4533" w14:textId="77777777" w:rsidR="00EC6B4B" w:rsidRDefault="001305B9">
      <w:pPr>
        <w:pStyle w:val="Para"/>
      </w:pPr>
      <w:r>
        <w:t xml:space="preserve">As regards immobilisation, bearer share certificates and bearer share warrants may be immobilised by requiring them to be held with a regulated financial institution or professional intermediary, with timely access to the information by the competent authorities. A professional intermediary could be an appropriate custodian of bearer share certificates and bearer share warrants where it is subject to supervision. </w:t>
      </w:r>
    </w:p>
    <w:p w14:paraId="51CE9C78" w14:textId="77777777" w:rsidR="00EC6B4B" w:rsidRDefault="001305B9">
      <w:pPr>
        <w:pStyle w:val="Para"/>
      </w:pPr>
      <w:r>
        <w:t xml:space="preserve">Regulated FIs and professional intermediaries should, upon becoming custodian of bearer share certificates and bearer share warrants undertake full identification of the bearer to be able to record the relevant information for competent authorities. Appropriate procedures should be in place to ensure that competent authorities are provided with timely access to the information held by the financial institution or professional intermediary. </w:t>
      </w:r>
    </w:p>
    <w:p w14:paraId="7E558853" w14:textId="77777777" w:rsidR="00EC6B4B" w:rsidRDefault="001305B9">
      <w:pPr>
        <w:pStyle w:val="Heading2"/>
      </w:pPr>
      <w:bookmarkStart w:id="535" w:name="_Toc117503100"/>
      <w:r>
        <w:t>Timeframes for immobilisation/conversion of bearer share certificates and bearer share warrants</w:t>
      </w:r>
      <w:bookmarkEnd w:id="535"/>
    </w:p>
    <w:p w14:paraId="325BC519" w14:textId="77777777" w:rsidR="00EC6B4B" w:rsidRDefault="001305B9">
      <w:pPr>
        <w:pStyle w:val="Para"/>
        <w:rPr>
          <w:rFonts w:ascii="Cambria" w:hAnsi="Cambria"/>
        </w:rPr>
      </w:pPr>
      <w:r>
        <w:t>The standard requires countries to take the above measures within a reasonable timeframe. Taking into account the lead time which may be required for making the necessary legislative/administrative changes, this period could be about two years</w:t>
      </w:r>
      <w:r>
        <w:rPr>
          <w:rStyle w:val="FootnoteReference"/>
          <w:rFonts w:ascii="Cambria" w:hAnsi="Cambria"/>
        </w:rPr>
        <w:footnoteReference w:id="66"/>
      </w:r>
      <w:r>
        <w:t>.</w:t>
      </w:r>
      <w:r>
        <w:rPr>
          <w:rFonts w:ascii="Cambria" w:hAnsi="Cambria"/>
        </w:rPr>
        <w:t xml:space="preserve"> </w:t>
      </w:r>
      <w:r>
        <w:t>Based on some jurisdictions’ experience in applying such measures. The following illustrates some measures taken by countries:</w:t>
      </w:r>
    </w:p>
    <w:p w14:paraId="05A52E1F" w14:textId="77777777" w:rsidR="00EC6B4B" w:rsidRDefault="00EC6B4B">
      <w:pPr>
        <w:pStyle w:val="Para"/>
        <w:numPr>
          <w:ilvl w:val="0"/>
          <w:numId w:val="0"/>
        </w:numPr>
        <w:ind w:left="680"/>
      </w:pPr>
    </w:p>
    <w:tbl>
      <w:tblPr>
        <w:tblStyle w:val="TableGrid"/>
        <w:tblW w:w="9309" w:type="dxa"/>
        <w:jc w:val="center"/>
        <w:tblBorders>
          <w:top w:val="single" w:sz="6" w:space="0" w:color="4E81BD" w:themeColor="accent1"/>
          <w:left w:val="single" w:sz="6" w:space="0" w:color="4E81BD" w:themeColor="accent1"/>
          <w:bottom w:val="single" w:sz="6" w:space="0" w:color="4E81BD" w:themeColor="accent1"/>
          <w:right w:val="single" w:sz="6" w:space="0" w:color="4E81BD" w:themeColor="accent1"/>
          <w:insideH w:val="single" w:sz="6" w:space="0" w:color="4E81BD" w:themeColor="accent1"/>
          <w:insideV w:val="single" w:sz="6"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EC6B4B" w14:paraId="515CF890" w14:textId="77777777">
        <w:trPr>
          <w:jc w:val="center"/>
        </w:trPr>
        <w:tc>
          <w:tcPr>
            <w:tcW w:w="9309" w:type="dxa"/>
            <w:shd w:val="clear" w:color="auto" w:fill="EEECE1" w:themeFill="accent3"/>
          </w:tcPr>
          <w:p w14:paraId="2CE70D2A" w14:textId="77777777" w:rsidR="00EC6B4B" w:rsidRDefault="001305B9">
            <w:pPr>
              <w:pStyle w:val="Caption"/>
              <w:keepNext w:val="0"/>
              <w:spacing w:line="320" w:lineRule="exact"/>
              <w:rPr>
                <w:b w:val="0"/>
              </w:rPr>
            </w:pPr>
            <w:r>
              <w:t>Box </w:t>
            </w:r>
            <w:r>
              <w:rPr>
                <w:b w:val="0"/>
                <w:noProof/>
              </w:rPr>
              <w:fldChar w:fldCharType="begin"/>
            </w:r>
            <w:r>
              <w:rPr>
                <w:noProof/>
              </w:rPr>
              <w:instrText xml:space="preserve"> SEQ Box \* ARABIC </w:instrText>
            </w:r>
            <w:r>
              <w:rPr>
                <w:b w:val="0"/>
                <w:noProof/>
              </w:rPr>
              <w:fldChar w:fldCharType="separate"/>
            </w:r>
            <w:r w:rsidR="00CF7A67">
              <w:rPr>
                <w:noProof/>
              </w:rPr>
              <w:t>5</w:t>
            </w:r>
            <w:r>
              <w:rPr>
                <w:b w:val="0"/>
                <w:noProof/>
              </w:rPr>
              <w:fldChar w:fldCharType="end"/>
            </w:r>
            <w:r>
              <w:t>.FRANCE</w:t>
            </w:r>
          </w:p>
          <w:p w14:paraId="36F0DD0C" w14:textId="77777777" w:rsidR="00EC6B4B" w:rsidRDefault="001305B9">
            <w:pPr>
              <w:pStyle w:val="BoxHeading2"/>
              <w:jc w:val="both"/>
              <w:rPr>
                <w:rFonts w:ascii="Times New Roman" w:eastAsia="SimSun" w:hAnsi="Times New Roman"/>
                <w:b w:val="0"/>
                <w:i w:val="0"/>
                <w:color w:val="auto"/>
              </w:rPr>
            </w:pPr>
            <w:r>
              <w:rPr>
                <w:rFonts w:ascii="Times New Roman" w:eastAsia="SimSun" w:hAnsi="Times New Roman"/>
                <w:b w:val="0"/>
                <w:i w:val="0"/>
                <w:color w:val="auto"/>
              </w:rPr>
              <w:t>To illustrate this point, when imposing all “bearer securities” to be dematerialised securities, the French law of 30 December 1982 did not edict a legal obligation to convert existing physical bearer shares into dematerialised bearer shares. French law took indirect sanctions that would act as incentives to convert the existing physical bearer shares. Holders of said physical bearer shares had 18 months as of the entry into force of the law to have their shares registered. If the holders did not register the shares in time, they were deprived of their voting rights. The remaining physical bearer shares had to be sold by the issuer five years after the entry into force of the law. Executives of issuers that did not enforce this procedure were fiscally penalised.</w:t>
            </w:r>
          </w:p>
        </w:tc>
      </w:tr>
    </w:tbl>
    <w:p w14:paraId="76B89908" w14:textId="77777777" w:rsidR="00EC6B4B" w:rsidRDefault="001305B9">
      <w:pPr>
        <w:pStyle w:val="Para"/>
      </w:pPr>
      <w:r>
        <w:t xml:space="preserve">Another possibility would be to have the bearer shares converted into registered shares after a certain period of time (which could be two years). The following illustrates some measures taken by countries: </w:t>
      </w:r>
    </w:p>
    <w:p w14:paraId="22D3B740" w14:textId="77777777" w:rsidR="00EC6B4B" w:rsidRDefault="00EC6B4B">
      <w:pPr>
        <w:pStyle w:val="Para"/>
        <w:numPr>
          <w:ilvl w:val="0"/>
          <w:numId w:val="0"/>
        </w:numPr>
        <w:ind w:left="680"/>
      </w:pPr>
    </w:p>
    <w:tbl>
      <w:tblPr>
        <w:tblStyle w:val="TableGrid"/>
        <w:tblW w:w="9309" w:type="dxa"/>
        <w:jc w:val="center"/>
        <w:tblBorders>
          <w:top w:val="single" w:sz="6" w:space="0" w:color="4E81BD" w:themeColor="accent1"/>
          <w:left w:val="single" w:sz="6" w:space="0" w:color="4E81BD" w:themeColor="accent1"/>
          <w:bottom w:val="single" w:sz="6" w:space="0" w:color="4E81BD" w:themeColor="accent1"/>
          <w:right w:val="single" w:sz="6" w:space="0" w:color="4E81BD" w:themeColor="accent1"/>
          <w:insideH w:val="single" w:sz="6" w:space="0" w:color="4E81BD" w:themeColor="accent1"/>
          <w:insideV w:val="single" w:sz="6"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EC6B4B" w14:paraId="2E345A4F" w14:textId="77777777">
        <w:trPr>
          <w:jc w:val="center"/>
        </w:trPr>
        <w:tc>
          <w:tcPr>
            <w:tcW w:w="9309" w:type="dxa"/>
            <w:shd w:val="clear" w:color="auto" w:fill="EEECE1" w:themeFill="accent3"/>
          </w:tcPr>
          <w:p w14:paraId="2F29E918" w14:textId="77777777" w:rsidR="00EC6B4B" w:rsidRDefault="001305B9">
            <w:pPr>
              <w:pStyle w:val="Caption"/>
              <w:keepNext w:val="0"/>
              <w:spacing w:line="320" w:lineRule="exact"/>
              <w:rPr>
                <w:b w:val="0"/>
              </w:rPr>
            </w:pPr>
            <w:r>
              <w:t>Box </w:t>
            </w:r>
            <w:r>
              <w:rPr>
                <w:b w:val="0"/>
                <w:noProof/>
              </w:rPr>
              <w:fldChar w:fldCharType="begin"/>
            </w:r>
            <w:r>
              <w:rPr>
                <w:noProof/>
              </w:rPr>
              <w:instrText xml:space="preserve"> SEQ Box \* ARABIC </w:instrText>
            </w:r>
            <w:r>
              <w:rPr>
                <w:b w:val="0"/>
                <w:noProof/>
              </w:rPr>
              <w:fldChar w:fldCharType="separate"/>
            </w:r>
            <w:r w:rsidR="00CF7A67">
              <w:rPr>
                <w:noProof/>
              </w:rPr>
              <w:t>6</w:t>
            </w:r>
            <w:r>
              <w:rPr>
                <w:b w:val="0"/>
                <w:noProof/>
              </w:rPr>
              <w:fldChar w:fldCharType="end"/>
            </w:r>
            <w:r>
              <w:t>. SWITZERLAND</w:t>
            </w:r>
          </w:p>
          <w:p w14:paraId="75E00533" w14:textId="77777777" w:rsidR="00EC6B4B" w:rsidRDefault="001305B9">
            <w:pPr>
              <w:pStyle w:val="BoxHeading2"/>
              <w:rPr>
                <w:rFonts w:ascii="Times New Roman" w:eastAsia="SimSun" w:hAnsi="Times New Roman"/>
                <w:b w:val="0"/>
                <w:i w:val="0"/>
                <w:color w:val="auto"/>
              </w:rPr>
            </w:pPr>
            <w:r>
              <w:rPr>
                <w:rFonts w:ascii="Times New Roman" w:eastAsia="SimSun" w:hAnsi="Times New Roman"/>
                <w:b w:val="0"/>
                <w:i w:val="0"/>
                <w:color w:val="auto"/>
              </w:rPr>
              <w:t xml:space="preserve">The Swiss act </w:t>
            </w:r>
            <w:r>
              <w:rPr>
                <w:rFonts w:ascii="Times New Roman" w:eastAsia="SimSun" w:hAnsi="Times New Roman"/>
                <w:b w:val="0"/>
                <w:iCs/>
                <w:color w:val="auto"/>
              </w:rPr>
              <w:t>Loi fédérale sur la mise en œuvre des recommandations du Forum mondial sur la transparence et l'échange de renseignements à des fins fiscales</w:t>
            </w:r>
            <w:r>
              <w:rPr>
                <w:rFonts w:ascii="Times New Roman" w:eastAsia="SimSun" w:hAnsi="Times New Roman"/>
                <w:b w:val="0"/>
                <w:i w:val="0"/>
                <w:color w:val="auto"/>
              </w:rPr>
              <w:t xml:space="preserve"> limited the use of bearer shares to listed companies or to situations where the bearer shares were intermediated. For all other shares, this act organised an automatic conversion of bearer shares into registered shares 18 months after its entry into force.</w:t>
            </w:r>
          </w:p>
        </w:tc>
      </w:tr>
    </w:tbl>
    <w:p w14:paraId="29794804" w14:textId="77777777" w:rsidR="00EC6B4B" w:rsidRDefault="00EC6B4B">
      <w:pPr>
        <w:pStyle w:val="Para"/>
        <w:numPr>
          <w:ilvl w:val="0"/>
          <w:numId w:val="0"/>
        </w:numPr>
        <w:ind w:left="680"/>
      </w:pPr>
    </w:p>
    <w:p w14:paraId="2CCC8796" w14:textId="77777777" w:rsidR="00EC6B4B" w:rsidRDefault="001305B9">
      <w:pPr>
        <w:pStyle w:val="Para"/>
      </w:pPr>
      <w:r>
        <w:t>Before immobilisation/conversion is completed, in line with the standards, countries should require holders of bearer instruments to notify the company, and the company to record their identity before any rights associated therewith can be exercised. Moreover, to streamline the conversion of existing bearer shares and bearer share warrants into registered shares, countries may consider setting up an interim limited period of time at the end of which existing bearer shares and bearer share warrants would be either converted or immobilised or, eventually cancelled.</w:t>
      </w:r>
    </w:p>
    <w:p w14:paraId="3D7A5FEE" w14:textId="77777777" w:rsidR="00EC6B4B" w:rsidRDefault="001305B9">
      <w:pPr>
        <w:pStyle w:val="Para"/>
      </w:pPr>
      <w:r>
        <w:t xml:space="preserve">In determining the reasonableness of the timeframe for the implementation of conversion or immobilisation measures, countries should have regard to the money laundering and terrorist financing risks raised by the concerned bearer shares and bearer shares warrants or their holders. In each case, at the end of a determined period of time, in the absence of the required changes, the holder of bearer shares would lose all or part of its rights as a shareholder. The following illustrates some measures taken by countries. </w:t>
      </w:r>
    </w:p>
    <w:tbl>
      <w:tblPr>
        <w:tblStyle w:val="TableGrid"/>
        <w:tblW w:w="9309" w:type="dxa"/>
        <w:jc w:val="center"/>
        <w:tblBorders>
          <w:top w:val="single" w:sz="6" w:space="0" w:color="4E81BD" w:themeColor="accent1"/>
          <w:left w:val="single" w:sz="6" w:space="0" w:color="4E81BD" w:themeColor="accent1"/>
          <w:bottom w:val="single" w:sz="6" w:space="0" w:color="4E81BD" w:themeColor="accent1"/>
          <w:right w:val="single" w:sz="6" w:space="0" w:color="4E81BD" w:themeColor="accent1"/>
          <w:insideH w:val="single" w:sz="6" w:space="0" w:color="4E81BD" w:themeColor="accent1"/>
          <w:insideV w:val="single" w:sz="6"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EC6B4B" w14:paraId="4D7D01E2" w14:textId="77777777">
        <w:trPr>
          <w:jc w:val="center"/>
        </w:trPr>
        <w:tc>
          <w:tcPr>
            <w:tcW w:w="9309" w:type="dxa"/>
            <w:shd w:val="clear" w:color="auto" w:fill="EEECE1" w:themeFill="accent3"/>
          </w:tcPr>
          <w:p w14:paraId="1ABF1085" w14:textId="77777777" w:rsidR="00EC6B4B" w:rsidRDefault="001305B9">
            <w:pPr>
              <w:pStyle w:val="Caption"/>
              <w:keepNext w:val="0"/>
              <w:spacing w:line="320" w:lineRule="exact"/>
              <w:rPr>
                <w:b w:val="0"/>
              </w:rPr>
            </w:pPr>
            <w:r>
              <w:t>Box </w:t>
            </w:r>
            <w:r>
              <w:rPr>
                <w:b w:val="0"/>
                <w:noProof/>
              </w:rPr>
              <w:fldChar w:fldCharType="begin"/>
            </w:r>
            <w:r>
              <w:rPr>
                <w:noProof/>
              </w:rPr>
              <w:instrText xml:space="preserve"> SEQ Box \* ARABIC </w:instrText>
            </w:r>
            <w:r>
              <w:rPr>
                <w:b w:val="0"/>
                <w:noProof/>
              </w:rPr>
              <w:fldChar w:fldCharType="separate"/>
            </w:r>
            <w:r w:rsidR="00CF7A67">
              <w:rPr>
                <w:noProof/>
              </w:rPr>
              <w:t>7</w:t>
            </w:r>
            <w:r>
              <w:rPr>
                <w:b w:val="0"/>
                <w:noProof/>
              </w:rPr>
              <w:fldChar w:fldCharType="end"/>
            </w:r>
            <w:r>
              <w:t>. FRANCE AND SWITZERLAND</w:t>
            </w:r>
          </w:p>
          <w:p w14:paraId="2EE976BD" w14:textId="77777777" w:rsidR="00EC6B4B" w:rsidRDefault="001305B9">
            <w:pPr>
              <w:pStyle w:val="BoxHeading2"/>
              <w:jc w:val="both"/>
              <w:rPr>
                <w:rFonts w:ascii="Times New Roman" w:eastAsia="SimSun" w:hAnsi="Times New Roman"/>
                <w:b w:val="0"/>
                <w:i w:val="0"/>
                <w:color w:val="auto"/>
              </w:rPr>
            </w:pPr>
            <w:r>
              <w:rPr>
                <w:rFonts w:ascii="Times New Roman" w:eastAsia="SimSun" w:hAnsi="Times New Roman"/>
                <w:b w:val="0"/>
                <w:i w:val="0"/>
                <w:color w:val="auto"/>
              </w:rPr>
              <w:t>Both French and Swiss Acts gave an 18 months delay to implement the conversion measure.</w:t>
            </w:r>
          </w:p>
        </w:tc>
      </w:tr>
    </w:tbl>
    <w:p w14:paraId="4FBE110B" w14:textId="77777777" w:rsidR="00EC6B4B" w:rsidRDefault="001305B9">
      <w:pPr>
        <w:pStyle w:val="Heading1"/>
        <w:rPr>
          <w:rFonts w:cs="Times New Roman"/>
          <w:szCs w:val="24"/>
          <w:u w:color="000000"/>
          <w:lang w:eastAsia="de-AT"/>
        </w:rPr>
      </w:pPr>
      <w:bookmarkStart w:id="536" w:name="_Toc117503101"/>
      <w:r>
        <w:t>Mechanisms for preventing and mitigating risk of the misuse of nominee arrangements</w:t>
      </w:r>
      <w:bookmarkEnd w:id="536"/>
    </w:p>
    <w:p w14:paraId="49A0B9F3" w14:textId="77777777" w:rsidR="00EC6B4B" w:rsidRDefault="001305B9">
      <w:pPr>
        <w:pStyle w:val="Para"/>
        <w:rPr>
          <w:rFonts w:ascii="Cambria" w:hAnsi="Cambria"/>
        </w:rPr>
      </w:pPr>
      <w:r>
        <w:t>Recommendation 24 and its Interpretive Note require countries to take measures to prevent and mitigate the risk of the misuse of nominee shareholding and nominee directors</w:t>
      </w:r>
      <w:r>
        <w:rPr>
          <w:vertAlign w:val="superscript"/>
        </w:rPr>
        <w:footnoteReference w:id="67"/>
      </w:r>
      <w:r>
        <w:rPr>
          <w:rFonts w:ascii="Cambria" w:hAnsi="Cambria"/>
        </w:rPr>
        <w:t>.</w:t>
      </w:r>
    </w:p>
    <w:p w14:paraId="360A68C8" w14:textId="77777777" w:rsidR="00EC6B4B" w:rsidRDefault="001305B9">
      <w:pPr>
        <w:pStyle w:val="Heading2"/>
      </w:pPr>
      <w:bookmarkStart w:id="537" w:name="_Toc117503102"/>
      <w:r>
        <w:t>Definitions</w:t>
      </w:r>
      <w:bookmarkEnd w:id="537"/>
    </w:p>
    <w:p w14:paraId="4862A1C3" w14:textId="77777777" w:rsidR="00EC6B4B" w:rsidRDefault="001305B9">
      <w:pPr>
        <w:pStyle w:val="Para"/>
      </w:pPr>
      <w:r>
        <w:t>A nominee, as defined in the FATF Glossary (see box), is a natural or legal person holding a role in a company as an agent acting upon instructions of a nominator who has a more substantive claim to control and/or ownership of the company. In many cases, the nominator is the beneficial owner of the company.</w:t>
      </w:r>
    </w:p>
    <w:p w14:paraId="0AE49F44" w14:textId="77777777" w:rsidR="00EC6B4B" w:rsidRDefault="001305B9">
      <w:pPr>
        <w:pStyle w:val="Para"/>
      </w:pPr>
      <w:r>
        <w:t>While many types of nominee arrangements have legitimate business purposes and pose minimal or no money laundering or terrorism financing risks at all, nominees can also be used as a deliberate device to evade beneficial ownership transparency rules by posing an obstacle to transparency, and thereby facilitating the misuse of companies and other corporate vehicles for money laundering and related crimes.</w:t>
      </w:r>
    </w:p>
    <w:p w14:paraId="7FBEBCFB" w14:textId="77777777" w:rsidR="00EC6B4B" w:rsidRDefault="001305B9">
      <w:pPr>
        <w:pStyle w:val="Para"/>
      </w:pPr>
      <w:r>
        <w:t xml:space="preserve">The most common types of nominees are nominee directors and nominee shareholders (see box below). </w:t>
      </w:r>
    </w:p>
    <w:p w14:paraId="5364DBC0" w14:textId="77777777" w:rsidR="00EC6B4B" w:rsidRDefault="001305B9">
      <w:pPr>
        <w:widowControl/>
        <w:jc w:val="left"/>
        <w:rPr>
          <w:rFonts w:ascii="Cambria" w:eastAsia="Cambria" w:hAnsi="Cambria" w:cs="Cambria"/>
          <w:color w:val="000000"/>
          <w:u w:color="000000"/>
          <w:bdr w:val="nil"/>
        </w:rPr>
      </w:pPr>
      <w:r>
        <w:br w:type="page"/>
      </w:r>
    </w:p>
    <w:tbl>
      <w:tblPr>
        <w:tblStyle w:val="TableGrid"/>
        <w:tblW w:w="9309" w:type="dxa"/>
        <w:jc w:val="center"/>
        <w:tblBorders>
          <w:top w:val="single" w:sz="6" w:space="0" w:color="4E81BD" w:themeColor="accent1"/>
          <w:left w:val="single" w:sz="6" w:space="0" w:color="4E81BD" w:themeColor="accent1"/>
          <w:bottom w:val="single" w:sz="6" w:space="0" w:color="4E81BD" w:themeColor="accent1"/>
          <w:right w:val="single" w:sz="6" w:space="0" w:color="4E81BD" w:themeColor="accent1"/>
          <w:insideH w:val="single" w:sz="6" w:space="0" w:color="4E81BD" w:themeColor="accent1"/>
          <w:insideV w:val="single" w:sz="6"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EC6B4B" w14:paraId="28A9539A" w14:textId="77777777">
        <w:trPr>
          <w:jc w:val="center"/>
        </w:trPr>
        <w:tc>
          <w:tcPr>
            <w:tcW w:w="9309" w:type="dxa"/>
            <w:shd w:val="clear" w:color="auto" w:fill="EEECE1" w:themeFill="accent3"/>
          </w:tcPr>
          <w:p w14:paraId="5F4F243F" w14:textId="77777777" w:rsidR="00EC6B4B" w:rsidRDefault="001305B9">
            <w:pPr>
              <w:pStyle w:val="Caption"/>
              <w:keepNext w:val="0"/>
              <w:spacing w:line="320" w:lineRule="exact"/>
              <w:rPr>
                <w:b w:val="0"/>
              </w:rPr>
            </w:pPr>
            <w:r>
              <w:t>Box </w:t>
            </w:r>
            <w:r>
              <w:rPr>
                <w:b w:val="0"/>
                <w:noProof/>
              </w:rPr>
              <w:fldChar w:fldCharType="begin"/>
            </w:r>
            <w:r>
              <w:rPr>
                <w:noProof/>
              </w:rPr>
              <w:instrText xml:space="preserve"> SEQ Box \* ARABIC </w:instrText>
            </w:r>
            <w:r>
              <w:rPr>
                <w:b w:val="0"/>
                <w:noProof/>
              </w:rPr>
              <w:fldChar w:fldCharType="separate"/>
            </w:r>
            <w:r w:rsidR="00CF7A67">
              <w:rPr>
                <w:noProof/>
              </w:rPr>
              <w:t>8</w:t>
            </w:r>
            <w:r>
              <w:rPr>
                <w:b w:val="0"/>
                <w:noProof/>
              </w:rPr>
              <w:fldChar w:fldCharType="end"/>
            </w:r>
            <w:r>
              <w:t>. Definition of ‘nominator’ and ‘nominee shareholder or director’ from the Glossary to the FATF Recommendations</w:t>
            </w:r>
          </w:p>
          <w:p w14:paraId="7A2E7A5F" w14:textId="77777777" w:rsidR="00EC6B4B" w:rsidRDefault="001305B9">
            <w:pPr>
              <w:pStyle w:val="BoxHeading"/>
              <w:spacing w:before="180"/>
              <w:jc w:val="both"/>
              <w:rPr>
                <w:i/>
                <w:iCs/>
              </w:rPr>
            </w:pPr>
            <w:r>
              <w:rPr>
                <w:i/>
                <w:iCs/>
              </w:rPr>
              <w:t>Nominator is an individual (or group of individuals) or legal person that issues instructions (directly or indirectly) to a nominee to act on their behalf in the capacity of a director or a shareholder, also sometimes referred to as a “shadow director” or “silent partner”.</w:t>
            </w:r>
          </w:p>
          <w:p w14:paraId="64198785" w14:textId="77777777" w:rsidR="00EC6B4B" w:rsidRDefault="001305B9">
            <w:pPr>
              <w:pStyle w:val="BoxHeading"/>
              <w:spacing w:before="180"/>
              <w:jc w:val="both"/>
              <w:rPr>
                <w:i/>
                <w:iCs/>
              </w:rPr>
            </w:pPr>
            <w:r>
              <w:rPr>
                <w:i/>
                <w:iCs/>
              </w:rPr>
              <w:t>Nominee is an individual or legal person instructed by another individual or legal person (“the nominator”) to act on their behalf in a certain capacity regarding a legal person.</w:t>
            </w:r>
          </w:p>
          <w:p w14:paraId="4270E0A5" w14:textId="77777777" w:rsidR="00EC6B4B" w:rsidRDefault="001305B9">
            <w:pPr>
              <w:pStyle w:val="BoxHeading"/>
              <w:spacing w:before="180"/>
              <w:jc w:val="both"/>
              <w:rPr>
                <w:i/>
                <w:iCs/>
              </w:rPr>
            </w:pPr>
            <w:r>
              <w:rPr>
                <w:i/>
                <w:iCs/>
              </w:rPr>
              <w:t>A Nominee Director (also known as a “resident director”) is an individual or legal entity that routinely exercises the functions of the director in the company on behalf of and subject to the direct or indirect instructions of the nominator. A Nominee Director is never the beneficial owner of a legal person.</w:t>
            </w:r>
          </w:p>
          <w:p w14:paraId="7F66DFEC" w14:textId="77777777" w:rsidR="00EC6B4B" w:rsidRDefault="001305B9">
            <w:pPr>
              <w:pStyle w:val="BoxHeading"/>
              <w:spacing w:before="180"/>
              <w:jc w:val="both"/>
              <w:rPr>
                <w:i/>
                <w:iCs/>
              </w:rPr>
            </w:pPr>
            <w:r>
              <w:rPr>
                <w:i/>
                <w:iCs/>
              </w:rPr>
              <w:t>A Nominee Shareholder exercises the associated voting rights according to the instructions of the nominator and/or receives dividends on behalf of the nominator. A nominee shareholder is never the beneficial owner of a legal person based on the shares it holds as a nominee.</w:t>
            </w:r>
          </w:p>
        </w:tc>
      </w:tr>
    </w:tbl>
    <w:p w14:paraId="02F8FFF5" w14:textId="77777777" w:rsidR="00EC6B4B" w:rsidRDefault="00EC6B4B">
      <w:pPr>
        <w:pStyle w:val="BodyText"/>
        <w:spacing w:before="5"/>
        <w:rPr>
          <w:lang w:val="en-GB"/>
        </w:rPr>
      </w:pPr>
    </w:p>
    <w:p w14:paraId="258018A5" w14:textId="77777777" w:rsidR="00EC6B4B" w:rsidRDefault="001305B9">
      <w:pPr>
        <w:pStyle w:val="Para"/>
        <w:rPr>
          <w:rFonts w:ascii="Cambria" w:eastAsia="Cambria" w:hAnsi="Cambria" w:cs="Cambria"/>
        </w:rPr>
      </w:pPr>
      <w:r>
        <w:t>Whereas these terms are defined in the Glossary, the underlying legal or factual relationship between the nominator and the nominee shareholder or director may have various forms and a variety of different terminologies can be used to describe such arrangements in different jurisdictions</w:t>
      </w:r>
      <w:r>
        <w:rPr>
          <w:rStyle w:val="FootnoteReference"/>
          <w:rFonts w:ascii="Cambria" w:eastAsia="Cambria" w:hAnsi="Cambria" w:cs="Cambria"/>
        </w:rPr>
        <w:footnoteReference w:id="68"/>
      </w:r>
      <w:r>
        <w:rPr>
          <w:rFonts w:ascii="Cambria" w:eastAsia="Cambria" w:hAnsi="Cambria" w:cs="Cambria"/>
        </w:rPr>
        <w:t xml:space="preserve">. </w:t>
      </w:r>
    </w:p>
    <w:p w14:paraId="3E3E4617" w14:textId="77777777" w:rsidR="00EC6B4B" w:rsidRDefault="001305B9">
      <w:pPr>
        <w:pStyle w:val="Para"/>
        <w:rPr>
          <w:rFonts w:ascii="Cambria" w:hAnsi="Cambria"/>
        </w:rPr>
      </w:pPr>
      <w:r>
        <w:t>Nominee arrangements describe a spectrum of related legal and informal devices, where a nominee is registered as a director or shareholder, ranging from situations in which the nominee is simply a “front” with no real connection with or knowledge or control of the company (a “signature for sale”), to circumstances in which the nominee plays a substantive and genuinely independent role in the company, e.g., when representing the interests of particular shareholders in a large composite publicly-listed company, or providing specific expertise on the board of a company.</w:t>
      </w:r>
      <w:r>
        <w:rPr>
          <w:rFonts w:ascii="Cambria" w:hAnsi="Cambria"/>
          <w:vertAlign w:val="superscript"/>
        </w:rPr>
        <w:footnoteReference w:id="69"/>
      </w:r>
      <w:r>
        <w:rPr>
          <w:rFonts w:ascii="Cambria" w:hAnsi="Cambria"/>
          <w:vertAlign w:val="superscript"/>
        </w:rPr>
        <w:t xml:space="preserve"> </w:t>
      </w:r>
    </w:p>
    <w:p w14:paraId="7613AA28" w14:textId="77777777" w:rsidR="00EC6B4B" w:rsidRDefault="001305B9">
      <w:pPr>
        <w:pStyle w:val="Para"/>
      </w:pPr>
      <w:r>
        <w:rPr>
          <w:rFonts w:eastAsia="Cambria"/>
        </w:rPr>
        <w:t xml:space="preserve">The following legal contracts could be relevant in the context of the measures on nominees under Recommendation 24: </w:t>
      </w:r>
    </w:p>
    <w:p w14:paraId="6B73BD82" w14:textId="77777777" w:rsidR="00EC6B4B" w:rsidRDefault="001305B9">
      <w:pPr>
        <w:pStyle w:val="ListParagraph"/>
        <w:numPr>
          <w:ilvl w:val="0"/>
          <w:numId w:val="43"/>
        </w:numPr>
        <w:rPr>
          <w:rFonts w:eastAsia="Cambria"/>
        </w:rPr>
      </w:pPr>
      <w:r>
        <w:rPr>
          <w:rFonts w:eastAsia="Cambria"/>
        </w:rPr>
        <w:t>Professional nominee arrangements offered by corporate service</w:t>
      </w:r>
      <w:r>
        <w:t xml:space="preserve"> </w:t>
      </w:r>
      <w:r>
        <w:rPr>
          <w:rFonts w:eastAsia="Cambria"/>
        </w:rPr>
        <w:t>providers</w:t>
      </w:r>
    </w:p>
    <w:p w14:paraId="523A2387" w14:textId="77777777" w:rsidR="00EC6B4B" w:rsidRDefault="001305B9">
      <w:pPr>
        <w:pStyle w:val="ListParagraph"/>
        <w:numPr>
          <w:ilvl w:val="0"/>
          <w:numId w:val="43"/>
        </w:numPr>
        <w:rPr>
          <w:rFonts w:eastAsia="Cambria"/>
        </w:rPr>
      </w:pPr>
      <w:r>
        <w:rPr>
          <w:rFonts w:eastAsia="Cambria"/>
        </w:rPr>
        <w:t>Professional nominee director and nominee shareholder services offered by corporate service</w:t>
      </w:r>
      <w:r>
        <w:t xml:space="preserve"> </w:t>
      </w:r>
      <w:r>
        <w:rPr>
          <w:rFonts w:eastAsia="Cambria"/>
        </w:rPr>
        <w:t>providers</w:t>
      </w:r>
    </w:p>
    <w:p w14:paraId="1B71E343" w14:textId="77777777" w:rsidR="00EC6B4B" w:rsidRDefault="001305B9">
      <w:pPr>
        <w:pStyle w:val="ListParagraph"/>
        <w:numPr>
          <w:ilvl w:val="0"/>
          <w:numId w:val="43"/>
        </w:numPr>
        <w:rPr>
          <w:rFonts w:eastAsia="Cambria"/>
        </w:rPr>
      </w:pPr>
      <w:r>
        <w:rPr>
          <w:rFonts w:eastAsia="Cambria"/>
        </w:rPr>
        <w:t>Power of attorney arrangements used in concert with nominee arrangements</w:t>
      </w:r>
    </w:p>
    <w:p w14:paraId="7B28466C" w14:textId="77777777" w:rsidR="00EC6B4B" w:rsidRDefault="001305B9">
      <w:pPr>
        <w:pStyle w:val="ListParagraph"/>
        <w:numPr>
          <w:ilvl w:val="0"/>
          <w:numId w:val="43"/>
        </w:numPr>
        <w:rPr>
          <w:rFonts w:ascii="Cambria" w:eastAsia="Cambria" w:hAnsi="Cambria" w:cs="Cambria"/>
        </w:rPr>
      </w:pPr>
      <w:r>
        <w:rPr>
          <w:rFonts w:eastAsia="Cambria"/>
        </w:rPr>
        <w:t>“Signature for sale” agreements, e.g. a “nominee director declaration”, in which the nominee is simply a front with no substantive connection with the company.</w:t>
      </w:r>
      <w:r>
        <w:rPr>
          <w:rFonts w:ascii="Cambria" w:eastAsia="Cambria" w:hAnsi="Cambria" w:cs="Cambria"/>
        </w:rPr>
        <w:t xml:space="preserve"> </w:t>
      </w:r>
    </w:p>
    <w:p w14:paraId="53228935" w14:textId="77777777" w:rsidR="00EC6B4B" w:rsidRDefault="001305B9">
      <w:pPr>
        <w:pStyle w:val="Para"/>
        <w:rPr>
          <w:rFonts w:eastAsia="Cambria"/>
        </w:rPr>
      </w:pPr>
      <w:r>
        <w:rPr>
          <w:rFonts w:eastAsia="Cambria"/>
        </w:rPr>
        <w:t>Countries should examine specific types of arrangements that exist in their jurisdiction</w:t>
      </w:r>
      <w:r>
        <w:rPr>
          <w:rStyle w:val="FootnoteReference"/>
          <w:rFonts w:eastAsia="Cambria"/>
        </w:rPr>
        <w:footnoteReference w:id="70"/>
      </w:r>
      <w:r>
        <w:rPr>
          <w:rFonts w:eastAsia="Cambria"/>
        </w:rPr>
        <w:t xml:space="preserve"> and assess the relevance and applicability of measures to mitigate ML/TF risks of misuse of nominees under the INR of Recommendation 24, paragraph 13 and measures under Recommendation 25</w:t>
      </w:r>
      <w:r>
        <w:rPr>
          <w:vertAlign w:val="superscript"/>
        </w:rPr>
        <w:footnoteReference w:id="71"/>
      </w:r>
      <w:r>
        <w:rPr>
          <w:rFonts w:ascii="Cambria" w:eastAsia="Cambria" w:hAnsi="Cambria" w:cs="Cambria"/>
        </w:rPr>
        <w:t xml:space="preserve">. </w:t>
      </w:r>
      <w:r>
        <w:rPr>
          <w:rFonts w:eastAsia="Cambria"/>
        </w:rPr>
        <w:t>This may include, for example, arrangements mandating acting on behalf of another person.</w:t>
      </w:r>
    </w:p>
    <w:p w14:paraId="6EF6865A" w14:textId="77777777" w:rsidR="00EC6B4B" w:rsidRDefault="001305B9">
      <w:pPr>
        <w:pStyle w:val="Para"/>
        <w:rPr>
          <w:rFonts w:eastAsia="Cambria"/>
        </w:rPr>
      </w:pPr>
      <w:r>
        <w:rPr>
          <w:rFonts w:eastAsia="Cambria"/>
        </w:rPr>
        <w:t xml:space="preserve">In </w:t>
      </w:r>
      <w:r>
        <w:t>addition</w:t>
      </w:r>
      <w:r>
        <w:rPr>
          <w:rFonts w:eastAsia="Cambria"/>
        </w:rPr>
        <w:t>, the following examples may be relevant for applications of the terms “nominator” and “nominee shareholder or director”:</w:t>
      </w:r>
    </w:p>
    <w:p w14:paraId="028D0B35" w14:textId="77777777" w:rsidR="00EC6B4B" w:rsidRDefault="001305B9">
      <w:pPr>
        <w:pStyle w:val="ListParagraph"/>
        <w:numPr>
          <w:ilvl w:val="0"/>
          <w:numId w:val="44"/>
        </w:numPr>
        <w:rPr>
          <w:rFonts w:eastAsia="Cambria"/>
        </w:rPr>
      </w:pPr>
      <w:r>
        <w:rPr>
          <w:rFonts w:eastAsia="Cambria"/>
        </w:rPr>
        <w:t>Nominator: Principal, silent partner, shadow director;</w:t>
      </w:r>
    </w:p>
    <w:p w14:paraId="77F3A1EE" w14:textId="77777777" w:rsidR="00EC6B4B" w:rsidRDefault="001305B9">
      <w:pPr>
        <w:pStyle w:val="ListParagraph"/>
        <w:numPr>
          <w:ilvl w:val="0"/>
          <w:numId w:val="44"/>
        </w:numPr>
        <w:rPr>
          <w:rFonts w:eastAsia="Cambria"/>
        </w:rPr>
      </w:pPr>
      <w:r>
        <w:rPr>
          <w:rFonts w:eastAsia="Cambria"/>
        </w:rPr>
        <w:t xml:space="preserve">Nominee shareholder: may be a licensed service provider, a professional party representative, or any other person; </w:t>
      </w:r>
    </w:p>
    <w:p w14:paraId="589811B6" w14:textId="77777777" w:rsidR="00EC6B4B" w:rsidRDefault="001305B9">
      <w:pPr>
        <w:pStyle w:val="ListParagraph"/>
        <w:numPr>
          <w:ilvl w:val="0"/>
          <w:numId w:val="44"/>
        </w:numPr>
        <w:rPr>
          <w:rFonts w:eastAsia="Cambria"/>
        </w:rPr>
      </w:pPr>
      <w:r>
        <w:rPr>
          <w:rFonts w:eastAsia="Cambria"/>
        </w:rPr>
        <w:t xml:space="preserve">Nominee director: may be a legal professional, a corporate service provider, or any other person; a resident director or local director may be a nominee; </w:t>
      </w:r>
    </w:p>
    <w:p w14:paraId="5CEC5366" w14:textId="77777777" w:rsidR="00EC6B4B" w:rsidRDefault="001305B9">
      <w:pPr>
        <w:pStyle w:val="Para"/>
        <w:rPr>
          <w:rFonts w:ascii="Cambria" w:eastAsia="Cambria" w:hAnsi="Cambria" w:cs="Cambria"/>
        </w:rPr>
      </w:pPr>
      <w:r>
        <w:rPr>
          <w:rFonts w:eastAsia="Cambria"/>
        </w:rPr>
        <w:t>Nominees may be de jure, often the product of a formal legal agreement with a TCSP, notary, lawyer or tax advisor, or they may be de facto, for example where the behaviour or conduct of a person makes them a nominee director in the eyes of the law.</w:t>
      </w:r>
      <w:r>
        <w:rPr>
          <w:rFonts w:ascii="Cambria" w:hAnsi="Cambria"/>
          <w:vertAlign w:val="superscript"/>
        </w:rPr>
        <w:footnoteReference w:id="72"/>
      </w:r>
      <w:r>
        <w:rPr>
          <w:rFonts w:ascii="Cambria" w:eastAsia="Cambria" w:hAnsi="Cambria" w:cs="Cambria"/>
        </w:rPr>
        <w:t xml:space="preserve"> </w:t>
      </w:r>
      <w:r>
        <w:rPr>
          <w:rFonts w:eastAsia="Cambria"/>
        </w:rPr>
        <w:t>Nominee arrangements may also exist informally, without any form of (written) legal contract, e.g. based on loose forms of control where a family member, friend, employee or associate stands in for the nominator, who can be the beneficial owner</w:t>
      </w:r>
      <w:r>
        <w:rPr>
          <w:rFonts w:ascii="Cambria" w:eastAsia="Cambria" w:hAnsi="Cambria" w:cs="Cambria"/>
        </w:rPr>
        <w:t>.</w:t>
      </w:r>
      <w:r>
        <w:rPr>
          <w:rFonts w:ascii="Cambria" w:hAnsi="Cambria"/>
          <w:vertAlign w:val="superscript"/>
        </w:rPr>
        <w:footnoteReference w:id="73"/>
      </w:r>
    </w:p>
    <w:p w14:paraId="7148598D" w14:textId="77777777" w:rsidR="00EC6B4B" w:rsidRDefault="001305B9">
      <w:pPr>
        <w:pStyle w:val="Para"/>
        <w:rPr>
          <w:rFonts w:eastAsia="Cambria"/>
        </w:rPr>
      </w:pPr>
      <w:r>
        <w:rPr>
          <w:rFonts w:eastAsia="Cambria"/>
        </w:rPr>
        <w:t>The existence of de facto (or “shadow”) directors and informal nominees means that nominee arrangements may exist, be common, and may present ML/TF risks also in jurisdictions that have no specific legislative provisions for nominee directors and nominee shareholders, because they simply exist in practice.</w:t>
      </w:r>
    </w:p>
    <w:p w14:paraId="7FA06CD5" w14:textId="77777777" w:rsidR="00EC6B4B" w:rsidRDefault="001305B9">
      <w:pPr>
        <w:pStyle w:val="Para"/>
        <w:rPr>
          <w:rFonts w:ascii="Cambria" w:eastAsia="Cambria" w:hAnsi="Cambria" w:cs="Cambria"/>
        </w:rPr>
      </w:pPr>
      <w:r>
        <w:rPr>
          <w:rFonts w:eastAsia="Cambria"/>
        </w:rPr>
        <w:t>Under the FATF Glossary definition, the nominee shareholder or director exercises the functions in the company routinely, subject to the direct or indirect instructions of the nominator; conversely, a delegation whereby the nominee exercises certain powers of the nominator (e.g. “in the name of” the nominator) on a one-off or non-routine basis, would under most circumstances, not qualify as a nominee relationship</w:t>
      </w:r>
      <w:r>
        <w:rPr>
          <w:rFonts w:ascii="Cambria" w:eastAsia="Cambria" w:hAnsi="Cambria" w:cs="Cambria"/>
        </w:rPr>
        <w:t>.</w:t>
      </w:r>
    </w:p>
    <w:p w14:paraId="487C15E6" w14:textId="77777777" w:rsidR="00EC6B4B" w:rsidRDefault="001305B9">
      <w:pPr>
        <w:pStyle w:val="Gliederung11"/>
        <w:numPr>
          <w:ilvl w:val="0"/>
          <w:numId w:val="0"/>
        </w:numPr>
        <w:spacing w:before="120" w:after="120"/>
        <w:rPr>
          <w:rFonts w:eastAsiaTheme="majorEastAsia" w:cstheme="majorBidi"/>
          <w:b/>
          <w:i/>
          <w:color w:val="000000" w:themeColor="text1"/>
          <w:sz w:val="22"/>
          <w:szCs w:val="24"/>
          <w:lang w:eastAsia="en-US"/>
        </w:rPr>
      </w:pPr>
      <w:r>
        <w:rPr>
          <w:rFonts w:eastAsiaTheme="majorEastAsia" w:cstheme="majorBidi"/>
          <w:b/>
          <w:i/>
          <w:color w:val="000000" w:themeColor="text1"/>
          <w:sz w:val="22"/>
          <w:szCs w:val="24"/>
          <w:lang w:eastAsia="en-US"/>
        </w:rPr>
        <w:t>Mechanisms to prevent and mitigate the risk of the misuse of nominee arrangements</w:t>
      </w:r>
    </w:p>
    <w:p w14:paraId="5B60EF65" w14:textId="77777777" w:rsidR="00EC6B4B" w:rsidRDefault="001305B9">
      <w:pPr>
        <w:pStyle w:val="Para"/>
        <w:rPr>
          <w:rFonts w:ascii="Cambria" w:eastAsia="Cambria" w:hAnsi="Cambria" w:cs="Cambria"/>
        </w:rPr>
      </w:pPr>
      <w:r>
        <w:rPr>
          <w:rFonts w:eastAsia="Cambria"/>
        </w:rPr>
        <w:t>Under the Interpretive Note to Recommendation 24, countries are required to apply one or more of the following mechanisms to prevent and mitigate the risk of the misuse of nominees: transparency requirements, focused on company or beneficial ownership registries; licensing requirements for those acting as nominees (combined with disclosure requirements for their nominators); or prohibition of nominee arrangements. These measures are applicable irrespective of whether the nominator, nominee shareholder and/or nominee director are legal or natural persons. The features of each mechanism are outlined below:</w:t>
      </w:r>
      <w:r>
        <w:rPr>
          <w:rFonts w:ascii="Cambria" w:eastAsia="Cambria" w:hAnsi="Cambria" w:cs="Cambria"/>
        </w:rPr>
        <w:t xml:space="preserve"> </w:t>
      </w:r>
      <w:r>
        <w:rPr>
          <w:vertAlign w:val="superscript"/>
        </w:rPr>
        <w:footnoteReference w:id="74"/>
      </w:r>
      <w:r>
        <w:rPr>
          <w:rFonts w:ascii="Cambria" w:eastAsia="Cambria" w:hAnsi="Cambria" w:cs="Cambria"/>
          <w:vertAlign w:val="superscript"/>
        </w:rPr>
        <w:t>,</w:t>
      </w:r>
      <w:r>
        <w:rPr>
          <w:vertAlign w:val="superscript"/>
        </w:rPr>
        <w:footnoteReference w:id="75"/>
      </w:r>
    </w:p>
    <w:p w14:paraId="30CCE38A" w14:textId="77777777" w:rsidR="00EC6B4B" w:rsidRDefault="001305B9">
      <w:pPr>
        <w:pStyle w:val="ListParagraph"/>
        <w:numPr>
          <w:ilvl w:val="0"/>
          <w:numId w:val="45"/>
        </w:numPr>
        <w:tabs>
          <w:tab w:val="left" w:pos="833"/>
        </w:tabs>
        <w:autoSpaceDE w:val="0"/>
        <w:autoSpaceDN w:val="0"/>
        <w:spacing w:before="127" w:line="278" w:lineRule="auto"/>
        <w:ind w:right="227"/>
        <w:rPr>
          <w:rFonts w:ascii="Calibri" w:eastAsia="Calibri" w:hAnsi="Calibri" w:cs="Calibri"/>
          <w:b/>
          <w:bCs/>
          <w:color w:val="348092"/>
        </w:rPr>
      </w:pPr>
      <w:r>
        <w:rPr>
          <w:b/>
          <w:bCs/>
        </w:rPr>
        <w:t>Transparency Requirement:</w:t>
      </w:r>
    </w:p>
    <w:p w14:paraId="3F41E38C" w14:textId="77777777" w:rsidR="00EC6B4B" w:rsidRDefault="001305B9">
      <w:pPr>
        <w:pStyle w:val="ListParagraph"/>
        <w:numPr>
          <w:ilvl w:val="0"/>
          <w:numId w:val="46"/>
        </w:numPr>
        <w:autoSpaceDE w:val="0"/>
        <w:autoSpaceDN w:val="0"/>
        <w:spacing w:before="123"/>
        <w:contextualSpacing w:val="0"/>
        <w:rPr>
          <w:rFonts w:eastAsia="Cambria"/>
        </w:rPr>
      </w:pPr>
      <w:r>
        <w:rPr>
          <w:rFonts w:eastAsia="Cambria"/>
        </w:rPr>
        <w:t xml:space="preserve">Nominee shareholders and directors must disclose that they are acting as a nominee (i.e. their nominee status) and the identity of the nominator upon whose instructions they are acting to the company. </w:t>
      </w:r>
    </w:p>
    <w:p w14:paraId="5DC35776" w14:textId="77777777" w:rsidR="00EC6B4B" w:rsidRDefault="001305B9">
      <w:pPr>
        <w:pStyle w:val="ListParagraph"/>
        <w:numPr>
          <w:ilvl w:val="0"/>
          <w:numId w:val="46"/>
        </w:numPr>
        <w:autoSpaceDE w:val="0"/>
        <w:autoSpaceDN w:val="0"/>
        <w:spacing w:before="123"/>
        <w:contextualSpacing w:val="0"/>
        <w:rPr>
          <w:rFonts w:eastAsia="Cambria"/>
        </w:rPr>
      </w:pPr>
      <w:r>
        <w:rPr>
          <w:rFonts w:eastAsia="Cambria"/>
        </w:rPr>
        <w:t>The aforementioned information should be reported by the company or by the nominee to the relevant register or alternative mechanism as designated by the country (e.g. the shareholder register of the company, the company register or if a beneficial ownership register exists, to this register), regardless of whether the nominee arrangements are formal or informal.</w:t>
      </w:r>
    </w:p>
    <w:p w14:paraId="29FF2F66" w14:textId="77777777" w:rsidR="00EC6B4B" w:rsidRDefault="001305B9">
      <w:pPr>
        <w:pStyle w:val="ListParagraph"/>
        <w:numPr>
          <w:ilvl w:val="0"/>
          <w:numId w:val="46"/>
        </w:numPr>
        <w:autoSpaceDE w:val="0"/>
        <w:autoSpaceDN w:val="0"/>
        <w:spacing w:before="123"/>
        <w:contextualSpacing w:val="0"/>
        <w:rPr>
          <w:rFonts w:eastAsia="Cambria"/>
        </w:rPr>
      </w:pPr>
      <w:r>
        <w:rPr>
          <w:rFonts w:eastAsia="Cambria"/>
        </w:rPr>
        <w:t>The information should be obtained, held or recorded by the beneficial ownership registry or alternative mechanism, as applicable in the country.</w:t>
      </w:r>
    </w:p>
    <w:p w14:paraId="3DCA1440" w14:textId="77777777" w:rsidR="00EC6B4B" w:rsidRDefault="001305B9">
      <w:pPr>
        <w:pStyle w:val="ListParagraph"/>
        <w:numPr>
          <w:ilvl w:val="0"/>
          <w:numId w:val="46"/>
        </w:numPr>
        <w:autoSpaceDE w:val="0"/>
        <w:autoSpaceDN w:val="0"/>
        <w:spacing w:before="123"/>
        <w:contextualSpacing w:val="0"/>
        <w:rPr>
          <w:rFonts w:eastAsia="Cambria"/>
        </w:rPr>
      </w:pPr>
      <w:r>
        <w:rPr>
          <w:rFonts w:eastAsia="Cambria"/>
        </w:rPr>
        <w:t>The country should include the nominee status of nominee directors in public information, e.g. by adding a label or an asterisk to the names of directors who are nominee directors, on the relevant registry.</w:t>
      </w:r>
    </w:p>
    <w:p w14:paraId="0C77BDEF" w14:textId="77777777" w:rsidR="00EC6B4B" w:rsidRDefault="00EC6B4B">
      <w:pPr>
        <w:pStyle w:val="ListParagraph"/>
        <w:autoSpaceDE w:val="0"/>
        <w:autoSpaceDN w:val="0"/>
        <w:spacing w:before="123"/>
        <w:ind w:left="709"/>
        <w:contextualSpacing w:val="0"/>
        <w:rPr>
          <w:rFonts w:ascii="Cambria" w:eastAsia="Cambria" w:hAnsi="Cambria" w:cs="Cambria"/>
        </w:rPr>
      </w:pPr>
    </w:p>
    <w:p w14:paraId="68BE35C4" w14:textId="77777777" w:rsidR="00EC6B4B" w:rsidRDefault="001305B9">
      <w:pPr>
        <w:pStyle w:val="ListParagraph"/>
        <w:numPr>
          <w:ilvl w:val="0"/>
          <w:numId w:val="45"/>
        </w:numPr>
        <w:tabs>
          <w:tab w:val="left" w:pos="833"/>
        </w:tabs>
        <w:autoSpaceDE w:val="0"/>
        <w:autoSpaceDN w:val="0"/>
        <w:spacing w:before="127" w:line="278" w:lineRule="auto"/>
        <w:ind w:right="227"/>
        <w:rPr>
          <w:b/>
          <w:bCs/>
        </w:rPr>
      </w:pPr>
      <w:r>
        <w:rPr>
          <w:b/>
          <w:bCs/>
        </w:rPr>
        <w:t xml:space="preserve">Licensing Requirement: </w:t>
      </w:r>
    </w:p>
    <w:p w14:paraId="64218607" w14:textId="77777777" w:rsidR="00EC6B4B" w:rsidRDefault="001305B9">
      <w:pPr>
        <w:pStyle w:val="ListParagraph"/>
        <w:numPr>
          <w:ilvl w:val="0"/>
          <w:numId w:val="47"/>
        </w:numPr>
        <w:autoSpaceDE w:val="0"/>
        <w:autoSpaceDN w:val="0"/>
        <w:spacing w:before="123"/>
        <w:contextualSpacing w:val="0"/>
        <w:rPr>
          <w:rFonts w:eastAsia="Cambria"/>
        </w:rPr>
      </w:pPr>
      <w:r>
        <w:rPr>
          <w:rFonts w:eastAsia="Cambria"/>
        </w:rPr>
        <w:t xml:space="preserve">Nominee shareholders and directors must be licensed in order to offer nominee services, or belong to a licensed and regulated profession under AML regulations. </w:t>
      </w:r>
    </w:p>
    <w:p w14:paraId="751FB4F9" w14:textId="77777777" w:rsidR="00EC6B4B" w:rsidRDefault="001305B9">
      <w:pPr>
        <w:pStyle w:val="ListParagraph"/>
        <w:numPr>
          <w:ilvl w:val="0"/>
          <w:numId w:val="47"/>
        </w:numPr>
        <w:autoSpaceDE w:val="0"/>
        <w:autoSpaceDN w:val="0"/>
        <w:spacing w:before="123"/>
        <w:contextualSpacing w:val="0"/>
        <w:rPr>
          <w:rFonts w:eastAsia="Cambria"/>
        </w:rPr>
      </w:pPr>
      <w:r>
        <w:rPr>
          <w:rFonts w:eastAsia="Cambria"/>
        </w:rPr>
        <w:t xml:space="preserve">Countries may create a dedicated licensing system for nominees or may instead rely upon existing systems of licensing and regulation of FIs and DNFBPs, including trust and company service providers, regulated under Recommendations 10, 22, 23, 26, and 28 (see below). </w:t>
      </w:r>
    </w:p>
    <w:p w14:paraId="5C6EAD04" w14:textId="77777777" w:rsidR="00EC6B4B" w:rsidRDefault="001305B9">
      <w:pPr>
        <w:pStyle w:val="ListParagraph"/>
        <w:numPr>
          <w:ilvl w:val="0"/>
          <w:numId w:val="47"/>
        </w:numPr>
        <w:autoSpaceDE w:val="0"/>
        <w:autoSpaceDN w:val="0"/>
        <w:spacing w:before="123"/>
        <w:contextualSpacing w:val="0"/>
        <w:rPr>
          <w:rFonts w:eastAsia="Cambria"/>
        </w:rPr>
      </w:pPr>
      <w:r>
        <w:rPr>
          <w:rFonts w:eastAsia="Cambria"/>
        </w:rPr>
        <w:t>Information on their nominee status and identity of their nominator must be obtained, held or recorded by the relevant public authority, body or alternative mechanism as designated by the country (e.g. if a beneficial ownership register exists, to this register). In addition, nominee shareholders and directors must maintain information identifying their nominator and the natural person on whose behalf they are ultimately acting and make this information to competent authorities available upon request.</w:t>
      </w:r>
    </w:p>
    <w:p w14:paraId="1CF05656" w14:textId="77777777" w:rsidR="00EC6B4B" w:rsidRDefault="00EC6B4B">
      <w:pPr>
        <w:pStyle w:val="ListParagraph"/>
        <w:autoSpaceDE w:val="0"/>
        <w:autoSpaceDN w:val="0"/>
        <w:spacing w:before="123"/>
        <w:ind w:left="1345"/>
        <w:contextualSpacing w:val="0"/>
        <w:rPr>
          <w:rFonts w:eastAsia="Cambria"/>
        </w:rPr>
      </w:pPr>
    </w:p>
    <w:p w14:paraId="4B2CD997" w14:textId="77777777" w:rsidR="00EC6B4B" w:rsidRDefault="001305B9">
      <w:pPr>
        <w:pStyle w:val="ListParagraph"/>
        <w:numPr>
          <w:ilvl w:val="0"/>
          <w:numId w:val="45"/>
        </w:numPr>
        <w:tabs>
          <w:tab w:val="left" w:pos="833"/>
        </w:tabs>
        <w:autoSpaceDE w:val="0"/>
        <w:autoSpaceDN w:val="0"/>
        <w:spacing w:before="127" w:line="278" w:lineRule="auto"/>
        <w:ind w:right="227"/>
        <w:rPr>
          <w:b/>
          <w:bCs/>
        </w:rPr>
      </w:pPr>
      <w:r>
        <w:rPr>
          <w:b/>
          <w:bCs/>
        </w:rPr>
        <w:t xml:space="preserve">Prohibition: </w:t>
      </w:r>
    </w:p>
    <w:p w14:paraId="12A4401D" w14:textId="77777777" w:rsidR="00EC6B4B" w:rsidRDefault="001305B9">
      <w:pPr>
        <w:pStyle w:val="ListParagraph"/>
        <w:numPr>
          <w:ilvl w:val="0"/>
          <w:numId w:val="48"/>
        </w:numPr>
        <w:autoSpaceDE w:val="0"/>
        <w:autoSpaceDN w:val="0"/>
        <w:spacing w:before="123"/>
        <w:contextualSpacing w:val="0"/>
        <w:rPr>
          <w:rFonts w:eastAsia="Cambria"/>
        </w:rPr>
      </w:pPr>
      <w:r>
        <w:rPr>
          <w:rFonts w:eastAsia="Cambria"/>
        </w:rPr>
        <w:t>Nominee arrangements are explicitly prohibited and this prohibition is enforced.</w:t>
      </w:r>
    </w:p>
    <w:p w14:paraId="423C4C3C" w14:textId="77777777" w:rsidR="00EC6B4B" w:rsidRDefault="001305B9">
      <w:pPr>
        <w:pStyle w:val="ListParagraph"/>
        <w:numPr>
          <w:ilvl w:val="0"/>
          <w:numId w:val="48"/>
        </w:numPr>
        <w:autoSpaceDE w:val="0"/>
        <w:autoSpaceDN w:val="0"/>
        <w:spacing w:before="123"/>
        <w:contextualSpacing w:val="0"/>
        <w:rPr>
          <w:rFonts w:eastAsia="Cambria"/>
        </w:rPr>
      </w:pPr>
      <w:r>
        <w:rPr>
          <w:rFonts w:eastAsia="Cambria"/>
        </w:rPr>
        <w:t xml:space="preserve">Given the possibilities of </w:t>
      </w:r>
      <w:r>
        <w:rPr>
          <w:rFonts w:eastAsia="Cambria"/>
          <w:i/>
          <w:iCs/>
        </w:rPr>
        <w:t>de facto</w:t>
      </w:r>
      <w:r>
        <w:rPr>
          <w:rFonts w:eastAsia="Cambria"/>
        </w:rPr>
        <w:t xml:space="preserve"> and informal nominees, the absence or removal of legislative provisions for nominees will usually not be sufficient to ensure that nominee directors or shareholders are unavailable in practice.</w:t>
      </w:r>
    </w:p>
    <w:p w14:paraId="1E458060" w14:textId="77777777" w:rsidR="00EC6B4B" w:rsidRDefault="001305B9">
      <w:pPr>
        <w:pStyle w:val="ListParagraph"/>
        <w:numPr>
          <w:ilvl w:val="0"/>
          <w:numId w:val="48"/>
        </w:numPr>
        <w:autoSpaceDE w:val="0"/>
        <w:autoSpaceDN w:val="0"/>
        <w:spacing w:before="123"/>
        <w:contextualSpacing w:val="0"/>
        <w:rPr>
          <w:rFonts w:eastAsia="Cambria"/>
        </w:rPr>
      </w:pPr>
      <w:r>
        <w:rPr>
          <w:rFonts w:eastAsia="Cambria"/>
        </w:rPr>
        <w:t xml:space="preserve">Measures to detect undisclosed nominees and enforce a prohibition, e.g. by proportionate and dissuasive sanctions, would be required. </w:t>
      </w:r>
    </w:p>
    <w:p w14:paraId="6B5AAFE6" w14:textId="77777777" w:rsidR="00EC6B4B" w:rsidRDefault="001305B9">
      <w:pPr>
        <w:pStyle w:val="ListParagraph"/>
        <w:numPr>
          <w:ilvl w:val="0"/>
          <w:numId w:val="48"/>
        </w:numPr>
        <w:autoSpaceDE w:val="0"/>
        <w:autoSpaceDN w:val="0"/>
        <w:spacing w:before="123"/>
        <w:contextualSpacing w:val="0"/>
        <w:rPr>
          <w:rFonts w:ascii="Cambria" w:eastAsia="Cambria" w:hAnsi="Cambria" w:cs="Cambria"/>
        </w:rPr>
      </w:pPr>
      <w:r>
        <w:rPr>
          <w:rFonts w:eastAsia="Cambria"/>
        </w:rPr>
        <w:t>A prohibition may be combined with other measures listed under a) and b) above, e.g. a prohibition of corporate directors in combination with licensing or transparency requirements for other types of nominee arrangements</w:t>
      </w:r>
      <w:r>
        <w:rPr>
          <w:rFonts w:ascii="Cambria" w:eastAsia="Cambria" w:hAnsi="Cambria" w:cs="Cambria"/>
        </w:rPr>
        <w:t xml:space="preserve">. </w:t>
      </w:r>
    </w:p>
    <w:p w14:paraId="111B0045" w14:textId="77777777" w:rsidR="00EC6B4B" w:rsidRDefault="001305B9">
      <w:pPr>
        <w:pStyle w:val="Para"/>
        <w:rPr>
          <w:rFonts w:eastAsia="Cambria"/>
        </w:rPr>
      </w:pPr>
      <w:r>
        <w:rPr>
          <w:rFonts w:eastAsia="Cambria"/>
        </w:rPr>
        <w:t xml:space="preserve">Due to the private and often covert nature of informal nominees, where no written contract exists between the nominee and the nominator, there are inherent challenges in applying preventive measures, e.g. transparency or licensing requirements, to mitigate risks of such relationships. While the measures outlined above are generally applicable to formal and informal types of nominees, a greater emphasis on applying sanctions for false declarations of beneficial ownership (vis-à-vis preventive measures) is required to adequately address risks related to the misuse of informal nominees. False declarations of beneficial ownership by undisclosed (formal or informal) nominees can be used as evidence in investigations and provide grounds for sanctions (see section 16 on sanctions). Countries may also consider other preventive measures (e.g. regulations/statutes providing for director’s duties) set out in their frameworks. </w:t>
      </w:r>
    </w:p>
    <w:p w14:paraId="53E61854" w14:textId="77777777" w:rsidR="00EC6B4B" w:rsidRDefault="001305B9">
      <w:pPr>
        <w:pStyle w:val="Para"/>
        <w:rPr>
          <w:rFonts w:eastAsia="Cambria"/>
        </w:rPr>
      </w:pPr>
      <w:r>
        <w:rPr>
          <w:rFonts w:eastAsia="Cambria"/>
        </w:rPr>
        <w:t>For informal nominee relationships, FIs/DNFBPs could request information on the main elements of the relationship and record this for documentation purposes. Further, depending on the level of risk, the relevant registry or alternative mechanism, FIs and DNFBPs may need to be sensitised to the risk of undisclosed nominee arrangements in the context of obtaining beneficial ownership information.</w:t>
      </w:r>
    </w:p>
    <w:p w14:paraId="3D40305F" w14:textId="77777777" w:rsidR="00EC6B4B" w:rsidRDefault="001305B9">
      <w:pPr>
        <w:pStyle w:val="Para"/>
      </w:pPr>
      <w:r>
        <w:t xml:space="preserve">The provisions regarding nominees under Recommendation 24 should be implemented in conjunction with other FATF Recommendations on nominees. Notably, under Recommendations 22 and 23, TCSPs offering nominee director services (there defined as “acting as a director for a client”) or nominee shareholder services, are already subject to preventive measures, including identifying the beneficial owner. Besides, Recommendation 28 obliges countries to monitor such service provision to ensure compliance. Some countries have therefore opted to license and regulate TCSPs, which entitles these professionals to act as nominee directors and shareholders. While Recommendations 22, 23, and 28 set out provisions for TCSPs, Recommendation 24 provides for more specific transparency requirements in respect of the provision of nominee services: it requires that nominees disclose information on the nominator upon whose instructions they are acting (i.e. in the context of nominee service provision by a TCSP, on their “client”) upfront to the relevant registry, and to have their status as nominee director publicly recorded, and/or to ensure the country licenses such nominee service provision, as opposed to only monitoring it. </w:t>
      </w:r>
    </w:p>
    <w:p w14:paraId="628C8EE4" w14:textId="77777777" w:rsidR="00EC6B4B" w:rsidRDefault="001305B9">
      <w:pPr>
        <w:pStyle w:val="Heading2"/>
      </w:pPr>
      <w:bookmarkStart w:id="538" w:name="_Toc117503103"/>
      <w:r>
        <w:t>Risks of misuse of nominee arrangements</w:t>
      </w:r>
      <w:bookmarkEnd w:id="538"/>
    </w:p>
    <w:p w14:paraId="4552ADA0" w14:textId="77777777" w:rsidR="00EC6B4B" w:rsidRDefault="001305B9">
      <w:pPr>
        <w:pStyle w:val="Para"/>
      </w:pPr>
      <w:r>
        <w:t>Nominee arrangements may fulfil a wide range of entirely legitimate business purposes; nevertheless, nominee arrangements may also be deliberately used to obscure the beneficial owner by keeping the owner’s name off public records, or not disclosing them to the counterparty in a transaction.</w:t>
      </w:r>
    </w:p>
    <w:p w14:paraId="0FDBA314" w14:textId="77777777" w:rsidR="00EC6B4B" w:rsidRDefault="001305B9">
      <w:pPr>
        <w:pStyle w:val="Heading3"/>
      </w:pPr>
      <w:bookmarkStart w:id="539" w:name="_Toc117503104"/>
      <w:r>
        <w:t>“Signature for Sale” arrangements</w:t>
      </w:r>
      <w:bookmarkEnd w:id="539"/>
    </w:p>
    <w:p w14:paraId="780BE278" w14:textId="77777777" w:rsidR="00EC6B4B" w:rsidRDefault="001305B9">
      <w:pPr>
        <w:pStyle w:val="Para"/>
        <w:rPr>
          <w:rFonts w:eastAsia="Cambria"/>
        </w:rPr>
      </w:pPr>
      <w:r>
        <w:t>It is relatively common for nominee arrangements to be explicitly marketed by TCSPs under “signature for sale” arrangements in which the nominee plays no substantive role beyond obscuring the identity of the beneficial owner. Here, a separate private legal agreement with the nominee (power of attorney is a commonly seen form) enables the beneficial owner to retain control over the company from behind the scenes. In some documented cases, nominees pre-sign undated resignation letters to allow the beneficial owner to fire the nominee unilaterally, and if necessary, retroactively.</w:t>
      </w:r>
      <w:r>
        <w:rPr>
          <w:vertAlign w:val="superscript"/>
        </w:rPr>
        <w:footnoteReference w:id="76"/>
      </w:r>
      <w:r>
        <w:t xml:space="preserve"> Such arrangements do not only possibly violate the spirit and the law on beneficial ownership transparency, but to the extent that nominees have no real knowledge of or control over the company, they may also often violate directors’ standard responsibilities to the company. The measures under a), b), and c) are therefore mainly intended to strengthen enforcement of the obligation to identify the beneficial owner of a legal person in situations with nominees; but they may also help mitigate abuse by ensuring that nominee directors are substantively fulfilling their duties as director to the company, rather than merely acting as “signatures for sale”.</w:t>
      </w:r>
    </w:p>
    <w:p w14:paraId="7AFC1C3D" w14:textId="77777777" w:rsidR="00EC6B4B" w:rsidRDefault="001305B9">
      <w:pPr>
        <w:pStyle w:val="Heading2"/>
      </w:pPr>
      <w:bookmarkStart w:id="540" w:name="_Toc117503105"/>
      <w:r>
        <w:t>Situations where risks of misuse of nominee arrangements may be low</w:t>
      </w:r>
      <w:bookmarkEnd w:id="540"/>
    </w:p>
    <w:p w14:paraId="34D439BC" w14:textId="77777777" w:rsidR="00EC6B4B" w:rsidRDefault="001305B9">
      <w:pPr>
        <w:pStyle w:val="Para"/>
        <w:rPr>
          <w:rFonts w:eastAsia="Cambria"/>
        </w:rPr>
      </w:pPr>
      <w:r>
        <w:t>The spectrum of nominee services also includes those where the nominee plays a substantive role in the company, that are routinely used for legal business purposes, and where adequate, accurate and up-to-date information on the beneficial owner of the legal person in question is already available to competent authorities. Therefore, the extent of the measures that countries should take in accordance with Recommendation 24 should take into account the ML/TF risks present in the country.</w:t>
      </w:r>
      <w:r>
        <w:rPr>
          <w:vertAlign w:val="superscript"/>
        </w:rPr>
        <w:footnoteReference w:id="77"/>
      </w:r>
      <w:r>
        <w:rPr>
          <w:rFonts w:ascii="Cambria" w:eastAsia="Cambria" w:hAnsi="Cambria" w:cs="Cambria"/>
        </w:rPr>
        <w:t xml:space="preserve"> </w:t>
      </w:r>
      <w:r>
        <w:rPr>
          <w:rFonts w:eastAsia="Cambria"/>
        </w:rPr>
        <w:t>Based on a risk assessment,</w:t>
      </w:r>
      <w:r>
        <w:t xml:space="preserve"> </w:t>
      </w:r>
      <w:r>
        <w:rPr>
          <w:rFonts w:eastAsia="Cambria"/>
        </w:rPr>
        <w:t>countries may decide to distinguish between different situations in the extent of the measures applied, according to the ML/TF risks they present. This may include distinguishing between legal entities based on their nature and purpose (listed companies and their subsidiaries</w:t>
      </w:r>
      <w:r>
        <w:rPr>
          <w:vertAlign w:val="superscript"/>
        </w:rPr>
        <w:footnoteReference w:id="78"/>
      </w:r>
      <w:r>
        <w:rPr>
          <w:rFonts w:eastAsia="Cambria"/>
        </w:rPr>
        <w:t>, public entity, holding company, operating entity, domiciliary entity whose purpose is exclusively to hold and manage someone's wealth, non-profit organisation, etc.), business sector, risk profile of officers, and other factors.</w:t>
      </w:r>
    </w:p>
    <w:p w14:paraId="4CB7B896" w14:textId="77777777" w:rsidR="00EC6B4B" w:rsidRDefault="001305B9">
      <w:pPr>
        <w:pStyle w:val="Para"/>
        <w:rPr>
          <w:rFonts w:eastAsia="Cambria"/>
        </w:rPr>
      </w:pPr>
      <w:r>
        <w:rPr>
          <w:rFonts w:eastAsia="Cambria"/>
        </w:rPr>
        <w:t>Examples of circumstances, where countries could decide to exempt nominees from the scope of the mitigation measures under the INR – if risks of abuse are found to be low and adequate, accurate, and up-to-date information on beneficial ownership of the legal person is available to competent authorities, include:</w:t>
      </w:r>
    </w:p>
    <w:p w14:paraId="3F3143C9" w14:textId="77777777" w:rsidR="00EC6B4B" w:rsidRDefault="001305B9">
      <w:pPr>
        <w:pStyle w:val="ListParagraph"/>
        <w:numPr>
          <w:ilvl w:val="0"/>
          <w:numId w:val="49"/>
        </w:numPr>
        <w:autoSpaceDE w:val="0"/>
        <w:autoSpaceDN w:val="0"/>
        <w:spacing w:before="123"/>
        <w:contextualSpacing w:val="0"/>
        <w:rPr>
          <w:rFonts w:eastAsia="Cambria"/>
        </w:rPr>
      </w:pPr>
      <w:r>
        <w:rPr>
          <w:rFonts w:eastAsia="Cambria"/>
        </w:rPr>
        <w:t>The typical corporate practice for a (group of) shareholders to appoint a director to represent their interests at the management level, e.g. in a large composite publicly-listed company;</w:t>
      </w:r>
    </w:p>
    <w:p w14:paraId="60024212" w14:textId="77777777" w:rsidR="00EC6B4B" w:rsidRDefault="001305B9">
      <w:pPr>
        <w:pStyle w:val="ListParagraph"/>
        <w:numPr>
          <w:ilvl w:val="0"/>
          <w:numId w:val="49"/>
        </w:numPr>
        <w:autoSpaceDE w:val="0"/>
        <w:autoSpaceDN w:val="0"/>
        <w:spacing w:before="123"/>
        <w:contextualSpacing w:val="0"/>
        <w:rPr>
          <w:rFonts w:eastAsia="Cambria"/>
        </w:rPr>
      </w:pPr>
      <w:r>
        <w:rPr>
          <w:rFonts w:eastAsia="Cambria"/>
        </w:rPr>
        <w:t xml:space="preserve">Directors delegated to the board of companies in the context of a group of companies or commercial or financial collaboration for example to provide specific expertise on the board of a company, or to coordinate business decisions, or to take into account shareholders’ interests; </w:t>
      </w:r>
    </w:p>
    <w:p w14:paraId="51AD9464" w14:textId="77777777" w:rsidR="00EC6B4B" w:rsidRDefault="001305B9">
      <w:pPr>
        <w:pStyle w:val="ListParagraph"/>
        <w:numPr>
          <w:ilvl w:val="0"/>
          <w:numId w:val="49"/>
        </w:numPr>
        <w:autoSpaceDE w:val="0"/>
        <w:autoSpaceDN w:val="0"/>
        <w:spacing w:before="123"/>
        <w:contextualSpacing w:val="0"/>
        <w:rPr>
          <w:rFonts w:eastAsia="Cambria"/>
        </w:rPr>
      </w:pPr>
      <w:r>
        <w:rPr>
          <w:rFonts w:eastAsia="Cambria"/>
        </w:rPr>
        <w:t>Directors delegated to represent the interest of a specific (group of) shareholder(s) or stakeholder(s) as required by law (e.g. director representing employees in the board of pension schemes, director representing the State / Government / public body or similar in case of (partially) state-owned entities, director representing employees on the board of companies such as the German “</w:t>
      </w:r>
      <w:r>
        <w:rPr>
          <w:rFonts w:eastAsia="Cambria"/>
          <w:i/>
        </w:rPr>
        <w:t>Arbeitnehmervertreter im Aufsichtsrat</w:t>
      </w:r>
      <w:r>
        <w:rPr>
          <w:rFonts w:eastAsia="Cambria"/>
        </w:rPr>
        <w:t>”</w:t>
      </w:r>
      <w:r>
        <w:rPr>
          <w:rStyle w:val="FootnoteReference"/>
          <w:rFonts w:eastAsia="Cambria"/>
        </w:rPr>
        <w:footnoteReference w:id="79"/>
      </w:r>
      <w:r>
        <w:rPr>
          <w:rFonts w:eastAsia="Cambria"/>
        </w:rPr>
        <w:t>, director appointed by a multilateral development bank to subsidiaries and investee companies);</w:t>
      </w:r>
    </w:p>
    <w:p w14:paraId="0B2290BB" w14:textId="77777777" w:rsidR="00EC6B4B" w:rsidRDefault="001305B9">
      <w:pPr>
        <w:pStyle w:val="ListParagraph"/>
        <w:numPr>
          <w:ilvl w:val="0"/>
          <w:numId w:val="49"/>
        </w:numPr>
        <w:autoSpaceDE w:val="0"/>
        <w:autoSpaceDN w:val="0"/>
        <w:spacing w:before="123"/>
        <w:contextualSpacing w:val="0"/>
        <w:rPr>
          <w:rFonts w:eastAsia="Cambria"/>
        </w:rPr>
      </w:pPr>
      <w:r>
        <w:rPr>
          <w:rFonts w:eastAsia="Cambria"/>
        </w:rPr>
        <w:t xml:space="preserve">Certain types of AML-regulated investment funds acting on behalf of their investors, or pension funds acting in the interest of their future pensioners that pose low risks; </w:t>
      </w:r>
    </w:p>
    <w:p w14:paraId="48170596" w14:textId="77777777" w:rsidR="00EC6B4B" w:rsidRDefault="001305B9">
      <w:pPr>
        <w:pStyle w:val="ListParagraph"/>
        <w:numPr>
          <w:ilvl w:val="0"/>
          <w:numId w:val="49"/>
        </w:numPr>
        <w:autoSpaceDE w:val="0"/>
        <w:autoSpaceDN w:val="0"/>
        <w:spacing w:before="123"/>
        <w:contextualSpacing w:val="0"/>
        <w:rPr>
          <w:rFonts w:eastAsia="Cambria"/>
        </w:rPr>
      </w:pPr>
      <w:r>
        <w:rPr>
          <w:rFonts w:eastAsia="Cambria"/>
        </w:rPr>
        <w:t xml:space="preserve">Situations where the delegation of power to exercise shareholder’s rights is only incidental to an existing banking relationship (e.g. Depository Bank); </w:t>
      </w:r>
    </w:p>
    <w:p w14:paraId="363E396A" w14:textId="77777777" w:rsidR="00EC6B4B" w:rsidRDefault="001305B9">
      <w:pPr>
        <w:pStyle w:val="ListParagraph"/>
        <w:numPr>
          <w:ilvl w:val="0"/>
          <w:numId w:val="49"/>
        </w:numPr>
        <w:autoSpaceDE w:val="0"/>
        <w:autoSpaceDN w:val="0"/>
        <w:spacing w:before="123"/>
        <w:contextualSpacing w:val="0"/>
        <w:rPr>
          <w:rFonts w:eastAsia="Cambria"/>
        </w:rPr>
      </w:pPr>
      <w:r>
        <w:rPr>
          <w:rFonts w:eastAsia="Cambria"/>
        </w:rPr>
        <w:t>Voting representation by an independent representative in case shareholders cannot participate in a general assembly (Voting proxy, such as the Swiss “</w:t>
      </w:r>
      <w:r>
        <w:rPr>
          <w:rFonts w:eastAsia="Cambria"/>
          <w:i/>
        </w:rPr>
        <w:t>unabhängiger Stimmrechtsvertreter</w:t>
      </w:r>
      <w:r>
        <w:rPr>
          <w:rFonts w:eastAsia="Cambria"/>
        </w:rPr>
        <w:t>” and “</w:t>
      </w:r>
      <w:r>
        <w:rPr>
          <w:rFonts w:eastAsia="Cambria"/>
          <w:i/>
        </w:rPr>
        <w:t>Depotvertreter</w:t>
      </w:r>
      <w:r>
        <w:rPr>
          <w:rFonts w:eastAsia="Cambria"/>
        </w:rPr>
        <w:t xml:space="preserve">”); </w:t>
      </w:r>
    </w:p>
    <w:p w14:paraId="0C2D5CE5" w14:textId="77777777" w:rsidR="00EC6B4B" w:rsidRDefault="001305B9">
      <w:pPr>
        <w:pStyle w:val="ListParagraph"/>
        <w:numPr>
          <w:ilvl w:val="0"/>
          <w:numId w:val="49"/>
        </w:numPr>
        <w:autoSpaceDE w:val="0"/>
        <w:autoSpaceDN w:val="0"/>
        <w:spacing w:before="123"/>
        <w:contextualSpacing w:val="0"/>
        <w:rPr>
          <w:color w:val="348092"/>
          <w:sz w:val="28"/>
        </w:rPr>
      </w:pPr>
      <w:r>
        <w:rPr>
          <w:rFonts w:eastAsia="Cambria"/>
        </w:rPr>
        <w:t xml:space="preserve"> FI acting as nominee shareholder when carrying out transactions in their own name but on account of the client in the course e.g. of banking or brokerage activity.</w:t>
      </w:r>
    </w:p>
    <w:p w14:paraId="4351784F" w14:textId="77777777" w:rsidR="00EC6B4B" w:rsidRDefault="001305B9">
      <w:pPr>
        <w:pStyle w:val="Heading1"/>
        <w:rPr>
          <w:rFonts w:eastAsia="Calibri"/>
          <w:u w:color="000000"/>
        </w:rPr>
      </w:pPr>
      <w:bookmarkStart w:id="541" w:name="_Toc114830684"/>
      <w:bookmarkStart w:id="542" w:name="_Toc114831067"/>
      <w:bookmarkStart w:id="543" w:name="_Toc114835316"/>
      <w:bookmarkStart w:id="544" w:name="_Toc117503106"/>
      <w:bookmarkEnd w:id="541"/>
      <w:bookmarkEnd w:id="542"/>
      <w:bookmarkEnd w:id="543"/>
      <w:r>
        <w:t>Sanctions</w:t>
      </w:r>
      <w:bookmarkEnd w:id="544"/>
    </w:p>
    <w:p w14:paraId="2781549A" w14:textId="77777777" w:rsidR="00EC6B4B" w:rsidRDefault="001305B9">
      <w:pPr>
        <w:pStyle w:val="Para"/>
        <w:rPr>
          <w:rFonts w:eastAsia="Cambria"/>
        </w:rPr>
      </w:pPr>
      <w:r>
        <w:rPr>
          <w:rFonts w:eastAsia="Cambria"/>
        </w:rPr>
        <w:t>Establishing clear liability and effective, proportionate and dissuasive sanctions is a key feature of national systems’ efforts to ensure the implementation of Recommendation 24’s requirements</w:t>
      </w:r>
      <w:r>
        <w:rPr>
          <w:rFonts w:ascii="Cambria" w:eastAsia="Cambria" w:hAnsi="Cambria" w:cs="Cambria"/>
          <w:vertAlign w:val="superscript"/>
        </w:rPr>
        <w:footnoteReference w:id="80"/>
      </w:r>
      <w:r>
        <w:rPr>
          <w:rFonts w:ascii="Cambria" w:eastAsia="Cambria" w:hAnsi="Cambria" w:cs="Cambria"/>
        </w:rPr>
        <w:t xml:space="preserve">. </w:t>
      </w:r>
      <w:r>
        <w:rPr>
          <w:rFonts w:eastAsia="Cambria"/>
        </w:rPr>
        <w:t>Measures implementing this recommendation can apply to both natural and legal persons. For legal certainty, it is important to set out clear rules on the obligations of legal persons (e.g. reporting of information to registers or other mechanisms) and natural persons (e.g. provisions by shareholders of information to the person authorised to act on behalf of the legal person) with respect to each requirement of the recommendation. Equally, depending on the legal traditions of countries, situations where breaches by the legal person are caused by intentional or negligent behaviour of its senior management with a leading position or persons authorised to act on its behalf within the exercise of their professional functions could be treated specifically with a view to attributing liabilities in such cases. This could be the case, for example, when breaches are committed by the natural person with the intention to benefit the legal person itself. Liability could also be attributed to the senior management for breaches of requirements by employees under their responsibility.</w:t>
      </w:r>
    </w:p>
    <w:p w14:paraId="279772FC" w14:textId="77777777" w:rsidR="00EC6B4B" w:rsidRDefault="001305B9">
      <w:pPr>
        <w:pStyle w:val="Para"/>
        <w:rPr>
          <w:rFonts w:eastAsia="Cambria"/>
        </w:rPr>
      </w:pPr>
      <w:r>
        <w:rPr>
          <w:rFonts w:eastAsia="Cambria"/>
        </w:rPr>
        <w:t>Countries may apply appropriate sanctions or hold persons liable for breaches of responsibilities, of which measures can be of either administrative or criminal nature. When deciding on the most appropriate enforcement measure, countries should ensure consistency with their overall legal framework.</w:t>
      </w:r>
    </w:p>
    <w:p w14:paraId="7822FB9E" w14:textId="77777777" w:rsidR="00EC6B4B" w:rsidRDefault="001305B9">
      <w:pPr>
        <w:pStyle w:val="Para"/>
        <w:rPr>
          <w:rFonts w:eastAsia="Cambria"/>
        </w:rPr>
      </w:pPr>
      <w:r>
        <w:rPr>
          <w:rFonts w:eastAsia="Cambria"/>
        </w:rPr>
        <w:t xml:space="preserve">Countries may also apply criminal and/or administrative sanctions on the legal person or their representatives, including, e.g. resident agents in certain circumstances. </w:t>
      </w:r>
    </w:p>
    <w:p w14:paraId="711BE6F0" w14:textId="77777777" w:rsidR="00EC6B4B" w:rsidRDefault="001305B9">
      <w:pPr>
        <w:pStyle w:val="Para"/>
      </w:pPr>
      <w:r>
        <w:t>In order to ensure that sanctions are effective, proportionate and dissuasive, countries should take into account the following elements:</w:t>
      </w:r>
    </w:p>
    <w:p w14:paraId="56777FD8" w14:textId="77777777" w:rsidR="00EC6B4B" w:rsidRDefault="001305B9">
      <w:pPr>
        <w:pStyle w:val="ListParagraph"/>
        <w:numPr>
          <w:ilvl w:val="0"/>
          <w:numId w:val="50"/>
        </w:numPr>
        <w:autoSpaceDE w:val="0"/>
        <w:autoSpaceDN w:val="0"/>
        <w:spacing w:before="120" w:after="120"/>
        <w:ind w:left="714" w:hanging="357"/>
      </w:pPr>
      <w:r>
        <w:t>Is there an authority empowered to impose such sanctions?</w:t>
      </w:r>
    </w:p>
    <w:p w14:paraId="417068A5" w14:textId="77777777" w:rsidR="00EC6B4B" w:rsidRDefault="001305B9">
      <w:pPr>
        <w:pStyle w:val="ListParagraph"/>
        <w:numPr>
          <w:ilvl w:val="0"/>
          <w:numId w:val="50"/>
        </w:numPr>
        <w:autoSpaceDE w:val="0"/>
        <w:autoSpaceDN w:val="0"/>
        <w:spacing w:before="120" w:after="120"/>
        <w:ind w:left="714" w:hanging="357"/>
      </w:pPr>
      <w:r>
        <w:t xml:space="preserve">Is the range of sanctions sufficiently broad to capture all responsibilities and possible case scenarios (e.g. minor sanctions for late filing, personal liability for false declaration to restriction on incorporation or penalties for failure to report information, warning letters, and strike-off procedures for subsequent breaches)? </w:t>
      </w:r>
    </w:p>
    <w:p w14:paraId="106B605B" w14:textId="77777777" w:rsidR="00EC6B4B" w:rsidRDefault="001305B9">
      <w:pPr>
        <w:pStyle w:val="ListParagraph"/>
        <w:numPr>
          <w:ilvl w:val="0"/>
          <w:numId w:val="50"/>
        </w:numPr>
        <w:autoSpaceDE w:val="0"/>
        <w:autoSpaceDN w:val="0"/>
        <w:spacing w:before="120" w:after="120"/>
        <w:ind w:left="714" w:hanging="357"/>
      </w:pPr>
      <w:r>
        <w:t>Is this range of sanctions suitably dissuasive for even the largest legal entities in the jurisdiction?</w:t>
      </w:r>
    </w:p>
    <w:p w14:paraId="025C3171" w14:textId="77777777" w:rsidR="00EC6B4B" w:rsidRDefault="001305B9">
      <w:pPr>
        <w:pStyle w:val="ListParagraph"/>
        <w:numPr>
          <w:ilvl w:val="0"/>
          <w:numId w:val="50"/>
        </w:numPr>
        <w:autoSpaceDE w:val="0"/>
        <w:autoSpaceDN w:val="0"/>
        <w:spacing w:before="120" w:after="120"/>
        <w:ind w:left="714" w:hanging="357"/>
      </w:pPr>
      <w:r>
        <w:t>Are sanctions consistent with the gravity (including the repeated nature) of the breaches? Should other factors be taken into account (e.g. overall business turnover of the legal person)?</w:t>
      </w:r>
    </w:p>
    <w:p w14:paraId="25E1803D" w14:textId="77777777" w:rsidR="00EC6B4B" w:rsidRDefault="001305B9">
      <w:pPr>
        <w:pStyle w:val="ListParagraph"/>
        <w:numPr>
          <w:ilvl w:val="0"/>
          <w:numId w:val="50"/>
        </w:numPr>
        <w:autoSpaceDE w:val="0"/>
        <w:autoSpaceDN w:val="0"/>
        <w:spacing w:before="120" w:after="120"/>
        <w:ind w:left="714" w:hanging="357"/>
      </w:pPr>
      <w:r>
        <w:t xml:space="preserve">Are breaches systematically detected and sanctioned? </w:t>
      </w:r>
    </w:p>
    <w:p w14:paraId="570162E0" w14:textId="77777777" w:rsidR="00EC6B4B" w:rsidRDefault="001305B9">
      <w:pPr>
        <w:pStyle w:val="Heading1"/>
        <w:rPr>
          <w:rFonts w:eastAsia="Calibri"/>
          <w:u w:color="000000"/>
        </w:rPr>
      </w:pPr>
      <w:bookmarkStart w:id="545" w:name="_Toc114827843"/>
      <w:bookmarkStart w:id="546" w:name="_Toc114828024"/>
      <w:bookmarkStart w:id="547" w:name="_Toc114828113"/>
      <w:bookmarkStart w:id="548" w:name="_Toc114828203"/>
      <w:bookmarkStart w:id="549" w:name="_Toc114830686"/>
      <w:bookmarkStart w:id="550" w:name="_Toc114831069"/>
      <w:bookmarkStart w:id="551" w:name="_Toc114835318"/>
      <w:bookmarkStart w:id="552" w:name="_Toc114827844"/>
      <w:bookmarkStart w:id="553" w:name="_Toc114828025"/>
      <w:bookmarkStart w:id="554" w:name="_Toc114828114"/>
      <w:bookmarkStart w:id="555" w:name="_Toc114828204"/>
      <w:bookmarkStart w:id="556" w:name="_Toc114830687"/>
      <w:bookmarkStart w:id="557" w:name="_Toc114831070"/>
      <w:bookmarkStart w:id="558" w:name="_Toc114835319"/>
      <w:bookmarkStart w:id="559" w:name="_Toc117503107"/>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t>Relationship between beneficial ownership obligations and other recommendations (wire transfers and virtual assets requirements</w:t>
      </w:r>
      <w:r>
        <w:rPr>
          <w:rFonts w:cs="Times New Roman"/>
          <w:szCs w:val="24"/>
          <w:u w:color="000000"/>
          <w:lang w:eastAsia="de-AT"/>
        </w:rPr>
        <w:t>)</w:t>
      </w:r>
      <w:r>
        <w:rPr>
          <w:rStyle w:val="FootnoteReference"/>
          <w:rFonts w:eastAsia="Calibri" w:cs="Times New Roman"/>
          <w:b w:val="0"/>
          <w:u w:color="000000"/>
          <w:lang w:eastAsia="de-AT"/>
        </w:rPr>
        <w:footnoteReference w:id="81"/>
      </w:r>
      <w:bookmarkEnd w:id="559"/>
      <w:r>
        <w:rPr>
          <w:rFonts w:eastAsia="Calibri" w:cs="Times New Roman"/>
          <w:u w:color="000000"/>
          <w:lang w:eastAsia="de-AT"/>
        </w:rPr>
        <w:t xml:space="preserve"> </w:t>
      </w:r>
    </w:p>
    <w:p w14:paraId="6B3B1D7D" w14:textId="77777777" w:rsidR="00EC6B4B" w:rsidRDefault="001305B9">
      <w:pPr>
        <w:pStyle w:val="Heading2"/>
      </w:pPr>
      <w:bookmarkStart w:id="560" w:name="_Toc117503108"/>
      <w:r>
        <w:t>Wire transfers and beneficial ownership as part of CDD</w:t>
      </w:r>
      <w:bookmarkEnd w:id="560"/>
    </w:p>
    <w:p w14:paraId="55E736C0" w14:textId="77777777" w:rsidR="00EC6B4B" w:rsidRDefault="001305B9">
      <w:pPr>
        <w:pStyle w:val="Para"/>
        <w:rPr>
          <w:rFonts w:ascii="Cambria" w:hAnsi="Cambria"/>
        </w:rPr>
      </w:pPr>
      <w:r>
        <w:rPr>
          <w:rFonts w:eastAsia="Cambria"/>
        </w:rPr>
        <w:t xml:space="preserve">In </w:t>
      </w:r>
      <w:r>
        <w:t>relation</w:t>
      </w:r>
      <w:r>
        <w:rPr>
          <w:rFonts w:eastAsia="Cambria"/>
        </w:rPr>
        <w:t xml:space="preserve"> to wire transfers, FIs should be required to undertake CDD measures as set out in Recommendations 10 when carrying out occasional transactions. This includes the requirement to identify and take reasonable measures to verify the identity of the beneficial owner of the originator or beneficiary, as outlined above. In addition, Recommendation 16 requires financial institutions to take further measures such as collecting certain originator information and ensuring that this information accompanies a wire transfer</w:t>
      </w:r>
      <w:r>
        <w:t>.</w:t>
      </w:r>
      <w:r>
        <w:rPr>
          <w:rStyle w:val="FootnoteReference"/>
        </w:rPr>
        <w:footnoteReference w:id="82"/>
      </w:r>
    </w:p>
    <w:p w14:paraId="222C44C9" w14:textId="77777777" w:rsidR="00EC6B4B" w:rsidRDefault="001305B9">
      <w:pPr>
        <w:pStyle w:val="Heading2"/>
      </w:pPr>
      <w:bookmarkStart w:id="561" w:name="_Toc117503109"/>
      <w:r>
        <w:t>Virtual assets</w:t>
      </w:r>
      <w:bookmarkEnd w:id="561"/>
    </w:p>
    <w:p w14:paraId="17578F1D" w14:textId="77777777" w:rsidR="00EC6B4B" w:rsidRDefault="001305B9">
      <w:pPr>
        <w:pStyle w:val="Para"/>
      </w:pPr>
      <w:r>
        <w:t>The FATF Glossary defines VASPs as any natural or legal person that conducts as a business the activities or operations specified in the VASP definition</w:t>
      </w:r>
      <w:r>
        <w:rPr>
          <w:rStyle w:val="FootnoteReference"/>
        </w:rPr>
        <w:footnoteReference w:id="83"/>
      </w:r>
      <w:r>
        <w:t xml:space="preserve">. Recommendations 24 and 25 explicitly note that countries should take measures to prevent the misuse of legal persons and arrangements for ML/TF. As with FIs and DNFBPs, countries should therefore take measures to prevent the misuse of VASPs and consider measures to facilitate access to beneficial ownership and control information by VASPs undertaking the requirements set out in Recommendations 10 and 22. </w:t>
      </w:r>
    </w:p>
    <w:p w14:paraId="151A18F0" w14:textId="77777777" w:rsidR="00EC6B4B" w:rsidRDefault="001305B9">
      <w:pPr>
        <w:pStyle w:val="Para"/>
        <w:rPr>
          <w:rFonts w:ascii="Cambria" w:hAnsi="Cambria"/>
        </w:rPr>
      </w:pPr>
      <w:r>
        <w:t>As an initial matter, in the licensing or registration process for VASPs, competent authorities should take the necessary legal or regulatory measures to prevent criminals or their associates from holding, or being the beneficial owner of, a significant or controlling interest, or holding a management function in a VASP. Countries, including those that have decided to prohibit virtual assets, should take action to identify natural or legal persons that carry out VASP activities without the requisite license or registration, and apply appropriate sanctions</w:t>
      </w:r>
      <w:r>
        <w:rPr>
          <w:rFonts w:ascii="Cambria" w:hAnsi="Cambria"/>
        </w:rPr>
        <w:t>.</w:t>
      </w:r>
      <w:r>
        <w:rPr>
          <w:rStyle w:val="FootnoteReference"/>
          <w:rFonts w:ascii="Cambria" w:hAnsi="Cambria"/>
        </w:rPr>
        <w:t xml:space="preserve"> </w:t>
      </w:r>
      <w:r>
        <w:rPr>
          <w:rStyle w:val="FootnoteReference"/>
          <w:rFonts w:ascii="Cambria" w:hAnsi="Cambria"/>
        </w:rPr>
        <w:footnoteReference w:id="84"/>
      </w:r>
    </w:p>
    <w:p w14:paraId="253B7B04" w14:textId="77777777" w:rsidR="00EC6B4B" w:rsidRDefault="001305B9">
      <w:pPr>
        <w:pStyle w:val="Para"/>
      </w:pPr>
      <w:r>
        <w:t>In the context of VA and VASP activities, countries should ensure that VASPs licensed by or operating in their jurisdiction can manage and mitigate the risks of engaging in activities that involve the use of anonymity-enhancing technologies or mechanisms so that they are not abused to obscure legal or beneficial ownership of VA. Such technologies or mechanisms may include, but are not limited to, anonymity-enhanced cryptocurrencies (AECs), mixers, tumblers, privacy wallets and other technologies that obfuscate the identity of the sender, recipient or holder of a VA. If the VASP cannot manage and mitigate the risks posed by engaging in such activities, then the VASP should not be permitted to engage in such activities.</w:t>
      </w:r>
      <w:r>
        <w:rPr>
          <w:rStyle w:val="FootnoteReference"/>
          <w:rFonts w:ascii="Cambria" w:hAnsi="Cambria"/>
        </w:rPr>
        <w:footnoteReference w:id="85"/>
      </w:r>
    </w:p>
    <w:p w14:paraId="75EB1B65" w14:textId="77777777" w:rsidR="00EC6B4B" w:rsidRDefault="001305B9">
      <w:pPr>
        <w:pStyle w:val="Para"/>
      </w:pPr>
      <w:r>
        <w:t>In conducting CDD to fulfil obligations under Recommendation 10, VASPs should obtain and verify the customer identification information required under national law. For covered VA activities (e.g., VA payments, VA transfers, VA issuance, etc.), the verification of customer and beneficial ownership information by VASPs should be completed before or during the course of establishing the relationship.</w:t>
      </w:r>
      <w:r>
        <w:rPr>
          <w:rStyle w:val="FootnoteReference"/>
          <w:rFonts w:ascii="Cambria" w:hAnsi="Cambria"/>
        </w:rPr>
        <w:footnoteReference w:id="86"/>
      </w:r>
    </w:p>
    <w:p w14:paraId="5786F4D1" w14:textId="77777777" w:rsidR="00EC6B4B" w:rsidRDefault="001305B9">
      <w:pPr>
        <w:pStyle w:val="Para"/>
        <w:rPr>
          <w:rFonts w:ascii="Cambria" w:hAnsi="Cambria"/>
        </w:rPr>
      </w:pPr>
      <w:r>
        <w:t>Counterparty VASP due diligence should be completed when engaging in cross-border correspondent relationship or prior to transmitting required travel rule information and refreshed periodically or when a new risk emerges from the relationship. When conducting this counterparty due diligence, a VASP may obtain information set out by Recommendations 10 and 13 directly from the counterparty VASP. This information should be verified with reliable, independent sources of information for the verification of the identity and beneficial ownership of legal persons. For example, this may include: corporate registries, registries maintained by competent authorities on the regulated institutions list (e.g. VASP lists maintained by each jurisdiction where available), beneficial ownership registers and other examples mentioned in the BCBS General Guide on Account Opening.</w:t>
      </w:r>
      <w:r>
        <w:rPr>
          <w:rStyle w:val="FootnoteReference"/>
          <w:rFonts w:ascii="Cambria" w:hAnsi="Cambria"/>
        </w:rPr>
        <w:footnoteReference w:id="87"/>
      </w:r>
    </w:p>
    <w:p w14:paraId="6F6ACAF8" w14:textId="77777777" w:rsidR="00EC6B4B" w:rsidRDefault="001305B9">
      <w:pPr>
        <w:pStyle w:val="Para"/>
        <w:rPr>
          <w:rFonts w:ascii="Calibri" w:eastAsia="Calibri" w:hAnsi="Calibri" w:cs="Calibri"/>
          <w:b/>
          <w:color w:val="348092"/>
          <w:sz w:val="24"/>
          <w:szCs w:val="24"/>
          <w:u w:color="000000"/>
        </w:rPr>
      </w:pPr>
      <w:r>
        <w:t>Note that the FATF does not intend for an asset to be both a VA and a financial asset at the same time. There may, however, be instances where the same asset will be classified differently under different national frameworks or the same asset might be regulated under multiple categories. When determining if a new digital asset should qualify as a financial asset or a VA, authorities should consider whether their existing regime governing financial assets or their regime for VAs can be appropriately applied to the new digital assets in question. For example, if the asset in question is the functional digital equivalent of a bearer share (e.g. in the case of transferable tokens), authorities should consider how the mitigation measures in the relevant regime would apply to it.</w:t>
      </w:r>
      <w:r>
        <w:rPr>
          <w:rStyle w:val="FootnoteReference"/>
        </w:rPr>
        <w:t xml:space="preserve"> </w:t>
      </w:r>
      <w:r>
        <w:rPr>
          <w:rStyle w:val="FootnoteReference"/>
        </w:rPr>
        <w:footnoteReference w:id="88"/>
      </w:r>
      <w:r>
        <w:t xml:space="preserve"> One option for countries in this regard would be to apply the mitigating measures regarding bearer shares in Recommendation 24.</w:t>
      </w:r>
      <w:r>
        <w:rPr>
          <w:rStyle w:val="FootnoteReference"/>
          <w:rFonts w:ascii="Cambria" w:hAnsi="Cambria"/>
        </w:rPr>
        <w:footnoteReference w:id="89"/>
      </w:r>
      <w:bookmarkStart w:id="562" w:name="ISSUES_RELATING_TO_THE_LEGAL_PROFESSION"/>
      <w:bookmarkStart w:id="563" w:name="_bookmark25"/>
      <w:bookmarkStart w:id="564" w:name="_bookmark26"/>
      <w:bookmarkEnd w:id="562"/>
      <w:bookmarkEnd w:id="563"/>
      <w:bookmarkEnd w:id="564"/>
    </w:p>
    <w:p w14:paraId="6EF96C26" w14:textId="77777777" w:rsidR="00EC6B4B" w:rsidRDefault="001305B9">
      <w:pPr>
        <w:pStyle w:val="Heading1"/>
      </w:pPr>
      <w:bookmarkStart w:id="565" w:name="_Toc117503110"/>
      <w:r>
        <w:t>Applicability of relevant regulatory regimes</w:t>
      </w:r>
      <w:bookmarkEnd w:id="565"/>
      <w:r>
        <w:t xml:space="preserve">  </w:t>
      </w:r>
    </w:p>
    <w:p w14:paraId="71B6E8E9" w14:textId="77777777" w:rsidR="00EC6B4B" w:rsidRDefault="001305B9">
      <w:pPr>
        <w:pStyle w:val="Para"/>
      </w:pPr>
      <w:r>
        <w:t>Where information on basic and beneficial ownership exists within a regulated institution or a recognised stock exchange, countries may permit these entities to utilise such information for the purpose of complying with obligations to ensure that the beneficial ownership of a company is adequate, accurate and up-to-date and can be determined in a timely manner by a competent authority on basic and beneficial ownership.</w:t>
      </w:r>
    </w:p>
    <w:p w14:paraId="11121D45" w14:textId="77777777" w:rsidR="00EC6B4B" w:rsidRDefault="001305B9">
      <w:pPr>
        <w:pStyle w:val="Para"/>
        <w:rPr>
          <w:rStyle w:val="eop"/>
        </w:rPr>
      </w:pPr>
      <w:r>
        <w:rPr>
          <w:rStyle w:val="eop"/>
        </w:rPr>
        <w:t>When determining which of the aforementioned entities can utilise such information, countries must have regard to the following factors:</w:t>
      </w:r>
    </w:p>
    <w:p w14:paraId="7EF9A5D2" w14:textId="77777777" w:rsidR="00EC6B4B" w:rsidRDefault="001305B9">
      <w:pPr>
        <w:pStyle w:val="ListParagraph"/>
        <w:numPr>
          <w:ilvl w:val="0"/>
          <w:numId w:val="51"/>
        </w:numPr>
        <w:autoSpaceDE w:val="0"/>
        <w:autoSpaceDN w:val="0"/>
        <w:spacing w:before="120" w:after="120"/>
      </w:pPr>
      <w:r>
        <w:rPr>
          <w:b/>
          <w:bCs/>
        </w:rPr>
        <w:t>Information held by a recognised stock exchange:</w:t>
      </w:r>
      <w:r>
        <w:t xml:space="preserve"> countries may permit entities to utilise information held on a recognised stock exchange subject to the processes in place in the exchange.</w:t>
      </w:r>
    </w:p>
    <w:p w14:paraId="4A5B6D9D" w14:textId="77777777" w:rsidR="00EC6B4B" w:rsidRDefault="001305B9">
      <w:pPr>
        <w:pStyle w:val="ListParagraph"/>
        <w:numPr>
          <w:ilvl w:val="0"/>
          <w:numId w:val="51"/>
        </w:numPr>
        <w:autoSpaceDE w:val="0"/>
        <w:autoSpaceDN w:val="0"/>
        <w:spacing w:before="120" w:after="120"/>
        <w:rPr>
          <w:rStyle w:val="eop"/>
          <w:rFonts w:ascii="Cambria" w:hAnsi="Cambria"/>
        </w:rPr>
      </w:pPr>
      <w:r>
        <w:rPr>
          <w:b/>
          <w:bCs/>
        </w:rPr>
        <w:t>Information held by FIs and DNFBPs:</w:t>
      </w:r>
      <w:r>
        <w:t xml:space="preserve"> countries should consider the extent to which entities in their jurisdiction and other jurisdictions hold reliable basic and beneficial ownership information. If this information is held by entities that are effectively supervised in line with the FATF Guidance on risk-based supervision</w:t>
      </w:r>
      <w:r>
        <w:rPr>
          <w:rStyle w:val="FootnoteReference"/>
        </w:rPr>
        <w:footnoteReference w:id="90"/>
      </w:r>
      <w:r>
        <w:rPr>
          <w:rStyle w:val="eop"/>
        </w:rPr>
        <w:t>, countries may permit entities to utilise that information.</w:t>
      </w:r>
      <w:r>
        <w:rPr>
          <w:rStyle w:val="eop"/>
          <w:rFonts w:ascii="Cambria" w:hAnsi="Cambria"/>
        </w:rPr>
        <w:t xml:space="preserve"> </w:t>
      </w:r>
    </w:p>
    <w:p w14:paraId="3088F17C" w14:textId="77777777" w:rsidR="00EC6B4B" w:rsidRDefault="001305B9">
      <w:pPr>
        <w:pStyle w:val="Heading2"/>
      </w:pPr>
      <w:bookmarkStart w:id="566" w:name="_Toc117503111"/>
      <w:r>
        <w:t>Information held by stock exchanges</w:t>
      </w:r>
      <w:bookmarkEnd w:id="566"/>
    </w:p>
    <w:p w14:paraId="10A4E689" w14:textId="77777777" w:rsidR="00EC6B4B" w:rsidRDefault="001305B9">
      <w:pPr>
        <w:pStyle w:val="Para"/>
        <w:rPr>
          <w:rStyle w:val="eop"/>
        </w:rPr>
      </w:pPr>
      <w:r>
        <w:rPr>
          <w:rStyle w:val="eop"/>
        </w:rPr>
        <w:t xml:space="preserve">In considering whether information held on a stock exchange can be used for complying with obligations to </w:t>
      </w:r>
      <w:r>
        <w:t>ensure that the basic and beneficial ownership of a company is adequate, accurate and up-to-date and that it can be determined in a timely manner by a competent authority</w:t>
      </w:r>
      <w:r>
        <w:rPr>
          <w:rStyle w:val="eop"/>
        </w:rPr>
        <w:t>, countries should consider the extent to which exchanges have processes in place in order to determine the accuracy of basic and beneficial ownership information. This should involve suitable mechanisms to ensure adequate transparency of beneficial ownership (e.g. sanctions in case of violation of shareholder and BO reporting). Following are some of the considerations that countries may take into account:</w:t>
      </w:r>
    </w:p>
    <w:p w14:paraId="212CC9FF" w14:textId="77777777" w:rsidR="00EC6B4B" w:rsidRDefault="001305B9">
      <w:pPr>
        <w:pStyle w:val="ListParagraph"/>
        <w:numPr>
          <w:ilvl w:val="0"/>
          <w:numId w:val="52"/>
        </w:numPr>
        <w:autoSpaceDE w:val="0"/>
        <w:autoSpaceDN w:val="0"/>
        <w:spacing w:before="120" w:after="120"/>
      </w:pPr>
      <w:r>
        <w:t>For listed companies, beneficial ownership information may also be available as part of publicly accessible corporate information (such as annual reports). This could qualify as supplementary measures (see section 12).</w:t>
      </w:r>
    </w:p>
    <w:p w14:paraId="4E4E0644" w14:textId="77777777" w:rsidR="00EC6B4B" w:rsidRDefault="001305B9">
      <w:pPr>
        <w:pStyle w:val="ListParagraph"/>
        <w:numPr>
          <w:ilvl w:val="0"/>
          <w:numId w:val="52"/>
        </w:numPr>
        <w:autoSpaceDE w:val="0"/>
        <w:autoSpaceDN w:val="0"/>
        <w:spacing w:before="120" w:after="120"/>
      </w:pPr>
      <w:r>
        <w:t xml:space="preserve">In some jurisdictions, listed companies may be subject to comprehensive stringent disclosure requirements. Where stock exchanges have processes in place to ensure that basic/BO information is adequate, accurate and up-to-date, publicly available current information on shareholder and beneficial ownership may be sufficient. </w:t>
      </w:r>
    </w:p>
    <w:p w14:paraId="2253353F" w14:textId="77777777" w:rsidR="00EC6B4B" w:rsidRDefault="001305B9">
      <w:pPr>
        <w:pStyle w:val="Heading2"/>
      </w:pPr>
      <w:bookmarkStart w:id="567" w:name="_Toc117503112"/>
      <w:r>
        <w:t>Trust and company service providers (TCSPs)</w:t>
      </w:r>
      <w:bookmarkEnd w:id="567"/>
      <w:r>
        <w:t xml:space="preserve"> </w:t>
      </w:r>
    </w:p>
    <w:p w14:paraId="6D2E83DB" w14:textId="77777777" w:rsidR="00EC6B4B" w:rsidRDefault="001305B9">
      <w:pPr>
        <w:pStyle w:val="Para"/>
        <w:rPr>
          <w:rStyle w:val="eop"/>
        </w:rPr>
      </w:pPr>
      <w:r>
        <w:rPr>
          <w:rStyle w:val="eop"/>
        </w:rPr>
        <w:t>TCSPs play an important role in undertaking CDD on their clients both during the establishment of corporate vehicles and their ongoing management. In many countries, trust and company services (such as company formation and management) are offered by a range of different types of entities, including regulated professionals, such as lawyers and accountants. Although lawyers and accountants may be subject to regulation of their primary profession or business in some countries, the provision of company services is one area where criminals may seek to engage such professionals to conceal beneficial ownership, warranting specific regulatory oversight.</w:t>
      </w:r>
      <w:r>
        <w:rPr>
          <w:rStyle w:val="FootnoteReference"/>
        </w:rPr>
        <w:footnoteReference w:id="91"/>
      </w:r>
      <w:r>
        <w:rPr>
          <w:rStyle w:val="eop"/>
        </w:rPr>
        <w:t xml:space="preserve"> As well, in many countries, trust and company services are also offered by other companies that specialise in providing trust and company services, but which may not be regulated in relation to their profession or business. If there is no specific AML/CFT regulation and a designated supervisor, such specialists may be left unregulated. </w:t>
      </w:r>
    </w:p>
    <w:p w14:paraId="2C855DD3" w14:textId="77777777" w:rsidR="00EC6B4B" w:rsidRDefault="001305B9">
      <w:pPr>
        <w:pStyle w:val="Para"/>
        <w:rPr>
          <w:rStyle w:val="eop"/>
          <w:rFonts w:ascii="Cambria" w:hAnsi="Cambria"/>
        </w:rPr>
      </w:pPr>
      <w:r>
        <w:rPr>
          <w:rStyle w:val="eop"/>
        </w:rPr>
        <w:t>Another common challenge is that, even where legal professionals and TCSPs are subject to AML/CFT requirements, deficiencies often exist in how the CDD obligations with respect to beneficial ownership are being implemented. Supervision for compliance with these requirements is often ineffective. To address these issues, countries should ensure that all legal professionals and TCSPs are required to conduct CDD pursuant to Recommendation 22.</w:t>
      </w:r>
      <w:r>
        <w:rPr>
          <w:rStyle w:val="FootnoteReference"/>
          <w:rFonts w:ascii="Cambria" w:hAnsi="Cambria"/>
        </w:rPr>
        <w:t xml:space="preserve"> </w:t>
      </w:r>
      <w:r>
        <w:rPr>
          <w:rStyle w:val="FootnoteReference"/>
          <w:rFonts w:ascii="Cambria" w:hAnsi="Cambria"/>
        </w:rPr>
        <w:footnoteReference w:id="92"/>
      </w:r>
    </w:p>
    <w:p w14:paraId="136D2579" w14:textId="77777777" w:rsidR="00EC6B4B" w:rsidRDefault="001305B9">
      <w:pPr>
        <w:pStyle w:val="Para"/>
        <w:spacing w:before="0" w:after="0"/>
        <w:textAlignment w:val="baseline"/>
        <w:rPr>
          <w:rStyle w:val="eop"/>
        </w:rPr>
      </w:pPr>
      <w:r>
        <w:rPr>
          <w:rStyle w:val="eop"/>
        </w:rPr>
        <w:t>Countries should have regard to the abovementioned Risk-based Approach Sectoral Guidance when considering if entities can utilise information held by TCSPs as reliable information for determining basic and beneficial ownership about a legal person.</w:t>
      </w:r>
    </w:p>
    <w:p w14:paraId="5D4340D0" w14:textId="77777777" w:rsidR="00EC6B4B" w:rsidRDefault="001305B9">
      <w:pPr>
        <w:pStyle w:val="Heading2"/>
      </w:pPr>
      <w:bookmarkStart w:id="568" w:name="_Toc117503113"/>
      <w:r>
        <w:t>Issues relating to the legal profession</w:t>
      </w:r>
      <w:bookmarkEnd w:id="568"/>
    </w:p>
    <w:p w14:paraId="781A4BB1" w14:textId="77777777" w:rsidR="00EC6B4B" w:rsidRDefault="001305B9">
      <w:pPr>
        <w:pStyle w:val="Para"/>
        <w:rPr>
          <w:rFonts w:ascii="Cambria" w:hAnsi="Cambria"/>
        </w:rPr>
      </w:pPr>
      <w:r>
        <w:t>Because lawyers often act as trustees, nominees, or both</w:t>
      </w:r>
      <w:r>
        <w:rPr>
          <w:rStyle w:val="FootnoteReference"/>
          <w:rFonts w:ascii="Cambria" w:hAnsi="Cambria"/>
        </w:rPr>
        <w:footnoteReference w:id="93"/>
      </w:r>
      <w:r>
        <w:rPr>
          <w:rFonts w:ascii="Cambria" w:hAnsi="Cambria"/>
        </w:rPr>
        <w:t xml:space="preserve">, </w:t>
      </w:r>
      <w:r>
        <w:t>practical issues relating to legal professional privilege can arise when lawyers have AML/CFT obligations. Indeed, the right of a client to obtain legal representation and advice, be candid with their legal adviser and not fear later disclosure of those discussions to their prejudice is an important feature of the legal profession.</w:t>
      </w:r>
      <w:r>
        <w:rPr>
          <w:rStyle w:val="FootnoteReference"/>
          <w:rFonts w:ascii="Cambria" w:hAnsi="Cambria"/>
        </w:rPr>
        <w:footnoteReference w:id="94"/>
      </w:r>
      <w:r>
        <w:rPr>
          <w:rFonts w:ascii="Cambria" w:hAnsi="Cambria"/>
        </w:rPr>
        <w:t xml:space="preserve"> </w:t>
      </w:r>
    </w:p>
    <w:p w14:paraId="23D6C73A" w14:textId="77777777" w:rsidR="00EC6B4B" w:rsidRDefault="001305B9">
      <w:pPr>
        <w:pStyle w:val="Para"/>
        <w:rPr>
          <w:rFonts w:ascii="Cambria" w:hAnsi="Cambria"/>
        </w:rPr>
      </w:pPr>
      <w:r>
        <w:t>The scope of legal professional privilege and legal professional secrecy is often contained in constitutional law or is recognised by common law, and is tied to fundamental rights laid down in treaty or other international obligations.</w:t>
      </w:r>
      <w:r>
        <w:rPr>
          <w:rStyle w:val="FootnoteReference"/>
          <w:rFonts w:ascii="Cambria" w:hAnsi="Cambria"/>
        </w:rPr>
        <w:footnoteReference w:id="95"/>
      </w:r>
    </w:p>
    <w:p w14:paraId="01A5D4B7" w14:textId="77777777" w:rsidR="00EC6B4B" w:rsidRDefault="001305B9">
      <w:pPr>
        <w:pStyle w:val="Para"/>
        <w:rPr>
          <w:rFonts w:ascii="Cambria" w:hAnsi="Cambria"/>
        </w:rPr>
      </w:pPr>
      <w:r>
        <w:t>The scope of legal professional privilege and legal professional secrecy depends on the constitutional and legal framework of each country, and in some federal systems, of each state or province within the country. In addition, the scope of legal professional privilege and legal professional secrecy, and the associated obligations, may also vary across different types of legal professionals within a country and the types of services being offered.</w:t>
      </w:r>
      <w:r>
        <w:rPr>
          <w:rFonts w:ascii="Cambria" w:hAnsi="Cambria"/>
        </w:rPr>
        <w:t xml:space="preserve"> </w:t>
      </w:r>
    </w:p>
    <w:p w14:paraId="51DE1F63" w14:textId="77777777" w:rsidR="00EC6B4B" w:rsidRDefault="001305B9">
      <w:pPr>
        <w:pStyle w:val="Para"/>
        <w:rPr>
          <w:rFonts w:ascii="Cambria" w:hAnsi="Cambria"/>
        </w:rPr>
      </w:pPr>
      <w:r>
        <w:t>However, investigators have found that a frequent obstacle to accessing information about corporate vehicles is the use of legal professional privilege and professional secrecy to refuse to divulge information relevant to the ownership and control of a corporate vehicle.</w:t>
      </w:r>
      <w:r>
        <w:rPr>
          <w:rStyle w:val="FootnoteReference"/>
          <w:rFonts w:ascii="Cambria" w:hAnsi="Cambria"/>
        </w:rPr>
        <w:footnoteReference w:id="96"/>
      </w:r>
    </w:p>
    <w:p w14:paraId="5166E791" w14:textId="77777777" w:rsidR="00EC6B4B" w:rsidRDefault="001305B9">
      <w:pPr>
        <w:pStyle w:val="Para"/>
        <w:rPr>
          <w:rFonts w:ascii="Cambria" w:hAnsi="Cambria"/>
        </w:rPr>
      </w:pPr>
      <w:r>
        <w:t>This is appropriate when such claims are made correctly and in accordance with the law. However, some of the case studies show that occasionally extremely wide claims of privilege are made that exceed the generally understood provisions of the protections within the relevant country. To help address these issues, competent authorities and professional bodies should work to ensure that there is a clear and shared understanding of the scope of legal professional privilege and legal professional secrecy in their own country.</w:t>
      </w:r>
      <w:r>
        <w:rPr>
          <w:rStyle w:val="FootnoteReference"/>
          <w:rFonts w:ascii="Cambria" w:hAnsi="Cambria"/>
        </w:rPr>
        <w:footnoteReference w:id="97"/>
      </w:r>
    </w:p>
    <w:p w14:paraId="73CE795E" w14:textId="77777777" w:rsidR="00EC6B4B" w:rsidRDefault="001305B9">
      <w:pPr>
        <w:pStyle w:val="Para"/>
      </w:pPr>
      <w:r>
        <w:t>In particular, countries should ensure that there is a clear understanding of what is, and what is not covered to ensure that investigations involving suspected corporate vehicles are not inappropriately impeded.</w:t>
      </w:r>
    </w:p>
    <w:p w14:paraId="5313073B" w14:textId="77777777" w:rsidR="00EC6B4B" w:rsidRDefault="001305B9">
      <w:pPr>
        <w:pStyle w:val="Heading2"/>
      </w:pPr>
      <w:bookmarkStart w:id="569" w:name="_Toc117503114"/>
      <w:r>
        <w:t>Issues relating to fit and proper tests for FIs/DNFBPs/VASPs</w:t>
      </w:r>
      <w:bookmarkEnd w:id="569"/>
    </w:p>
    <w:p w14:paraId="1C09347C" w14:textId="77777777" w:rsidR="00EC6B4B" w:rsidRDefault="001305B9">
      <w:pPr>
        <w:pStyle w:val="Para"/>
        <w:rPr>
          <w:rFonts w:ascii="Calibri" w:eastAsia="Calibri" w:hAnsi="Calibri" w:cs="Calibri"/>
          <w:b/>
          <w:color w:val="348092"/>
          <w:u w:color="000000"/>
        </w:rPr>
      </w:pPr>
      <w:r>
        <w:t>Licensing authorities and/or supervisors should take necessary measures to ensure that criminals or their associates are prevented from holding or being the beneficial owner of a significant or controlling interest, or from holding a management function of FIs, DNFBPs and VASPs. This can be achieved, for example, through fit and proper tests, which should be carried out both at the licensing/registration stage and on an ongoing basis thereafter, including, if there are any changes to the ownership/control structure. FIs, DNFBPs and VASPs should provide adequate, accurate and up-to-date information on their beneficial owners to relevant authorities, including at the licensing or registration stage. Supervisory measures to ensure compliance with fit and proper tests may include, as appropriate, suspension of voting rights, requesting the selling of shares, and other actions against shareholders that are not fit and proper, or refuse to provide information upon request.</w:t>
      </w:r>
    </w:p>
    <w:p w14:paraId="282F288E" w14:textId="77777777" w:rsidR="00EC6B4B" w:rsidRDefault="001305B9">
      <w:pPr>
        <w:pStyle w:val="Heading1"/>
      </w:pPr>
      <w:bookmarkStart w:id="570" w:name="_Toc117503115"/>
      <w:r>
        <w:t>International co-operation</w:t>
      </w:r>
      <w:bookmarkEnd w:id="570"/>
    </w:p>
    <w:p w14:paraId="34338935" w14:textId="77777777" w:rsidR="00EC6B4B" w:rsidRDefault="001305B9">
      <w:pPr>
        <w:pStyle w:val="Para"/>
      </w:pPr>
      <w:r>
        <w:t xml:space="preserve">Corporate networks set up illicitly to hide the origin of proceeds of crime are often multi-jurisdictional. Effective international cooperation, as set out in FATF Recommendations 37 and 40, requires access, through the full cooperation of jurisdictional authorities, to accurate information on beneficial owners in the context of an international ML/TF investigation. Countries where legal persons are established should be able to obtain basic and beneficial ownership information (even on those beneficial owners residing abroad). In turn, those countries where beneficial owners reside need to respond to requests to identify the beneficial ownership of legal persons. To ensure that there is a practical level of international cooperation, Recommendation 24 contains specific requirements to provide cooperation on identifying the beneficial ownership or legal persons, including – </w:t>
      </w:r>
    </w:p>
    <w:p w14:paraId="382383E1" w14:textId="77777777" w:rsidR="00EC6B4B" w:rsidRDefault="001305B9">
      <w:pPr>
        <w:pStyle w:val="ListParagraph"/>
        <w:numPr>
          <w:ilvl w:val="0"/>
          <w:numId w:val="53"/>
        </w:numPr>
        <w:autoSpaceDE w:val="0"/>
        <w:autoSpaceDN w:val="0"/>
        <w:spacing w:before="120" w:after="120"/>
      </w:pPr>
      <w:r>
        <w:t>facilitating access by foreign competent authorities to basic information held by company registries (e.g. by making this information available online, or if it is not available online, by having an efficient mechanism through which foreign authorities can request information)</w:t>
      </w:r>
    </w:p>
    <w:p w14:paraId="45872F78" w14:textId="77777777" w:rsidR="00EC6B4B" w:rsidRDefault="001305B9">
      <w:pPr>
        <w:pStyle w:val="ListParagraph"/>
        <w:numPr>
          <w:ilvl w:val="0"/>
          <w:numId w:val="53"/>
        </w:numPr>
        <w:autoSpaceDE w:val="0"/>
        <w:autoSpaceDN w:val="0"/>
        <w:spacing w:before="120" w:after="120"/>
      </w:pPr>
      <w:r>
        <w:t>exchanging information on shareholders (including when it is held by the company or stock exchange) to enable foreign authorities to quickly move along a chain of legal ownership</w:t>
      </w:r>
    </w:p>
    <w:p w14:paraId="6E34FB89" w14:textId="77777777" w:rsidR="00EC6B4B" w:rsidRDefault="001305B9">
      <w:pPr>
        <w:pStyle w:val="ListParagraph"/>
        <w:numPr>
          <w:ilvl w:val="0"/>
          <w:numId w:val="53"/>
        </w:numPr>
        <w:autoSpaceDE w:val="0"/>
        <w:autoSpaceDN w:val="0"/>
        <w:spacing w:before="120" w:after="120"/>
      </w:pPr>
      <w:r>
        <w:t>using their competent authorities’ powers to obtain beneficial ownership information on behalf of foreign counterparts (e.g. at the request of foreign competent authorities, not only when conducting their own investigations).</w:t>
      </w:r>
    </w:p>
    <w:p w14:paraId="01A2BB06" w14:textId="77777777" w:rsidR="00EC6B4B" w:rsidRDefault="001305B9">
      <w:pPr>
        <w:pStyle w:val="Para"/>
      </w:pPr>
      <w:r>
        <w:t>The exchange of information with a foreign counterpart should avoid unduly restrictive conditions for accessing information, subject to internationally agreed standards. What could be considered as “an unduly restrictive conditions on the exchange of information or assistance” may include, inter alia, the refusal of requests for assistance on the grounds that they involve a fiscal, including tax</w:t>
      </w:r>
      <w:r>
        <w:rPr>
          <w:rStyle w:val="FootnoteReference"/>
        </w:rPr>
        <w:footnoteReference w:id="98"/>
      </w:r>
      <w:r>
        <w:t>, matters, or on the grounds of bank secrecy.</w:t>
      </w:r>
    </w:p>
    <w:p w14:paraId="5AED7938" w14:textId="77777777" w:rsidR="00EC6B4B" w:rsidRDefault="001305B9">
      <w:pPr>
        <w:pStyle w:val="Para"/>
      </w:pPr>
      <w:r>
        <w:t xml:space="preserve">The point(s) of contact, agency or registry information and procedure in accessing or requesting this information, should be made publicly available (e.g. online) or through specific posted guidance on procedures. </w:t>
      </w:r>
    </w:p>
    <w:p w14:paraId="63504158" w14:textId="77777777" w:rsidR="00EC6B4B" w:rsidRDefault="001305B9">
      <w:pPr>
        <w:pStyle w:val="Para"/>
      </w:pPr>
      <w:r>
        <w:t>Countries should have mechanisms in place to identify and describe the different types, forms and basic features of legal persons in the country. In addition, basic and/or beneficial ownership information held by various registries or alternative mechanism may be publicly available and accessible online.</w:t>
      </w:r>
    </w:p>
    <w:p w14:paraId="18E7B6C5" w14:textId="77777777" w:rsidR="00EC6B4B" w:rsidRDefault="001305B9">
      <w:pPr>
        <w:pStyle w:val="Para"/>
      </w:pPr>
      <w:r>
        <w:t xml:space="preserve">Law enforcement and other competent authorities should expect to find most of the basic information publicly available. Countries should publicise instructions on how to make a formal request for additional information, such as through mutual legal assistance, should that remain necessary. </w:t>
      </w:r>
    </w:p>
    <w:p w14:paraId="0C5B6954" w14:textId="77777777" w:rsidR="00EC6B4B" w:rsidRDefault="001305B9">
      <w:pPr>
        <w:pStyle w:val="Para"/>
      </w:pPr>
      <w:r>
        <w:t>To facilitate efficient and rapid exchange of beneficial ownership information across borders, countries should make contact information for receiving and responding to requests publicly available. Countries should designate the appropriate agency(ies) (e.g. ministries or agencies with registry jurisdiction) responsible for receiving and processing foreign requests for BO information and provide clear guidance to foreign counterparts on the process for requesting information with clear requirements, as well as any restrictions, for the requested information. Countries need to have in place an adequate internal procedure for interagency cooperation amongst relevant competent authorities in processing such requests. A defined, reasonable response time should be transparently reflected in the procedure.</w:t>
      </w:r>
    </w:p>
    <w:p w14:paraId="29E4731D" w14:textId="77777777" w:rsidR="00EC6B4B" w:rsidRDefault="001305B9">
      <w:pPr>
        <w:pStyle w:val="Para"/>
      </w:pPr>
      <w:r>
        <w:t>Countries should monitor the quality of the assistance which they receive from other countries.</w:t>
      </w:r>
    </w:p>
    <w:p w14:paraId="3C20F0D5" w14:textId="77777777" w:rsidR="00EC6B4B" w:rsidRDefault="00EC6B4B">
      <w:pPr>
        <w:rPr>
          <w:rFonts w:eastAsia="MS Mincho"/>
        </w:rPr>
      </w:pPr>
    </w:p>
    <w:sectPr w:rsidR="00EC6B4B" w:rsidSect="004E1359">
      <w:headerReference w:type="even" r:id="rId21"/>
      <w:headerReference w:type="default" r:id="rId22"/>
      <w:footerReference w:type="even" r:id="rId23"/>
      <w:footerReference w:type="default" r:id="rId24"/>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80A5B" w14:textId="77777777" w:rsidR="001305B9" w:rsidRDefault="001305B9"/>
  </w:endnote>
  <w:endnote w:type="continuationSeparator" w:id="0">
    <w:p w14:paraId="5D40480E" w14:textId="77777777" w:rsidR="001305B9" w:rsidRDefault="001305B9">
      <w:pPr>
        <w:pStyle w:val="Footer"/>
        <w:jc w:val="both"/>
      </w:pPr>
    </w:p>
  </w:endnote>
  <w:endnote w:type="continuationNotice" w:id="1">
    <w:p w14:paraId="0FB15F2A" w14:textId="77777777" w:rsidR="001305B9" w:rsidRDefault="00130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tLink">
    <w:panose1 w:val="02000000000000000000"/>
    <w:charset w:val="00"/>
    <w:family w:val="auto"/>
    <w:pitch w:val="variable"/>
    <w:sig w:usb0="8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217002386"/>
      <w:lock w:val="sdtLocked"/>
      <w:showingPlcHdr/>
    </w:sdtPr>
    <w:sdtEndPr/>
    <w:sdtContent>
      <w:p w14:paraId="5DB3647A" w14:textId="360D8E96" w:rsidR="004E1359" w:rsidRDefault="002175CB" w:rsidP="004E100F">
        <w:pPr>
          <w:pStyle w:val="Footer"/>
          <w:jc w:val="right"/>
        </w:pPr>
        <w:r>
          <w:t xml:space="preserve">     </w:t>
        </w:r>
      </w:p>
    </w:sdtContent>
  </w:sdt>
  <w:sdt>
    <w:sdtPr>
      <w:alias w:val="Classification"/>
      <w:tag w:val="txtHeaderClassif"/>
      <w:id w:val="-1918931641"/>
      <w:lock w:val="sdtLocked"/>
      <w:showingPlcHdr/>
    </w:sdtPr>
    <w:sdtEndPr/>
    <w:sdtContent>
      <w:p w14:paraId="46228A17" w14:textId="3C67CC1A" w:rsidR="004E1359" w:rsidRDefault="002175CB" w:rsidP="004E100F">
        <w:pPr>
          <w:pStyle w:val="FooterClassification"/>
          <w:jc w:val="left"/>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884096409"/>
      <w:lock w:val="sdtLocked"/>
      <w:showingPlcHdr/>
    </w:sdtPr>
    <w:sdtEndPr/>
    <w:sdtContent>
      <w:p w14:paraId="62E09EFB" w14:textId="3B300A22" w:rsidR="004E1359" w:rsidRPr="00FD7BD8" w:rsidRDefault="002C62E9" w:rsidP="004E100F">
        <w:pPr>
          <w:pStyle w:val="Footer"/>
          <w:jc w:val="left"/>
          <w:rPr>
            <w:caps w:val="0"/>
            <w:szCs w:val="16"/>
          </w:rPr>
        </w:pPr>
        <w:r>
          <w:t xml:space="preserve">     </w:t>
        </w:r>
      </w:p>
    </w:sdtContent>
  </w:sdt>
  <w:sdt>
    <w:sdtPr>
      <w:alias w:val="Classification"/>
      <w:tag w:val="txtHeaderClassif"/>
      <w:id w:val="-311407045"/>
      <w:lock w:val="sdtLocked"/>
    </w:sdtPr>
    <w:sdtEndPr/>
    <w:sdtContent>
      <w:p w14:paraId="5E3FE856" w14:textId="3D019AB6" w:rsidR="004E1359" w:rsidRPr="00FD7BD8" w:rsidRDefault="005D4834" w:rsidP="004E100F">
        <w:pPr>
          <w:pStyle w:val="FooterClassification"/>
          <w:rPr>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B878B" w14:textId="77777777" w:rsidR="001305B9" w:rsidRDefault="001305B9">
      <w:r>
        <w:separator/>
      </w:r>
    </w:p>
  </w:footnote>
  <w:footnote w:type="continuationSeparator" w:id="0">
    <w:p w14:paraId="189E410D" w14:textId="77777777" w:rsidR="001305B9" w:rsidRDefault="001305B9">
      <w:r>
        <w:continuationSeparator/>
      </w:r>
    </w:p>
  </w:footnote>
  <w:footnote w:id="1">
    <w:p w14:paraId="780E8B55" w14:textId="77777777" w:rsidR="00EC6B4B" w:rsidRDefault="001305B9">
      <w:pPr>
        <w:pStyle w:val="FootnoteText"/>
      </w:pPr>
      <w:r>
        <w:rPr>
          <w:rStyle w:val="FootnoteReference"/>
        </w:rPr>
        <w:footnoteRef/>
      </w:r>
      <w:r>
        <w:t xml:space="preserve"> This paper uses the term corporate vehicles to mean </w:t>
      </w:r>
      <w:r>
        <w:rPr>
          <w:i/>
        </w:rPr>
        <w:t xml:space="preserve">legal persons </w:t>
      </w:r>
      <w:r>
        <w:t xml:space="preserve">and </w:t>
      </w:r>
      <w:r>
        <w:rPr>
          <w:i/>
        </w:rPr>
        <w:t>legal arrangements</w:t>
      </w:r>
      <w:r>
        <w:t>, as defined in</w:t>
      </w:r>
      <w:r>
        <w:rPr>
          <w:spacing w:val="1"/>
        </w:rPr>
        <w:t xml:space="preserve"> </w:t>
      </w:r>
      <w:r>
        <w:t>the</w:t>
      </w:r>
      <w:r>
        <w:rPr>
          <w:spacing w:val="-3"/>
        </w:rPr>
        <w:t xml:space="preserve"> </w:t>
      </w:r>
      <w:r>
        <w:t>glossary</w:t>
      </w:r>
      <w:r>
        <w:rPr>
          <w:spacing w:val="1"/>
        </w:rPr>
        <w:t xml:space="preserve"> </w:t>
      </w:r>
      <w:r>
        <w:t>of</w:t>
      </w:r>
      <w:r>
        <w:rPr>
          <w:spacing w:val="-2"/>
        </w:rPr>
        <w:t xml:space="preserve"> </w:t>
      </w:r>
      <w:r>
        <w:t>the</w:t>
      </w:r>
      <w:r>
        <w:rPr>
          <w:spacing w:val="-2"/>
        </w:rPr>
        <w:t xml:space="preserve"> </w:t>
      </w:r>
      <w:r>
        <w:rPr>
          <w:iCs/>
        </w:rPr>
        <w:t>FATF</w:t>
      </w:r>
      <w:r>
        <w:rPr>
          <w:iCs/>
          <w:spacing w:val="1"/>
        </w:rPr>
        <w:t xml:space="preserve"> </w:t>
      </w:r>
      <w:r>
        <w:rPr>
          <w:iCs/>
        </w:rPr>
        <w:t>Recommendations</w:t>
      </w:r>
      <w:r>
        <w:t>.</w:t>
      </w:r>
    </w:p>
  </w:footnote>
  <w:footnote w:id="2">
    <w:p w14:paraId="61043350" w14:textId="77777777" w:rsidR="00EC6B4B" w:rsidRDefault="001305B9">
      <w:pPr>
        <w:pStyle w:val="FootnoteText"/>
      </w:pPr>
      <w:r>
        <w:rPr>
          <w:rStyle w:val="FootnoteReference"/>
        </w:rPr>
        <w:footnoteRef/>
      </w:r>
      <w:r>
        <w:t xml:space="preserve"> See a number of studies by FATF (FATF (2006), FATF &amp; CFATF (2010), FATF &amp; Egmont (2018)), and the World Bank and United Nations Office of Drugs and Crime’s (UNODC) Stolen Asset Recovery Initiative. In particular, in the Puppet Masters report published in 2011 by the World Bank / UNODC StAR, over 150 cases of large-scale corruption were examined. It was found that most cases of large-scale corruption involve the use of one or more corporate vehicles to conceal beneficial ownership. </w:t>
      </w:r>
    </w:p>
  </w:footnote>
  <w:footnote w:id="3">
    <w:p w14:paraId="79317294" w14:textId="77777777" w:rsidR="00EC6B4B" w:rsidRDefault="001305B9">
      <w:pPr>
        <w:pStyle w:val="FootnoteText"/>
      </w:pPr>
      <w:r>
        <w:rPr>
          <w:rStyle w:val="FootnoteReference"/>
        </w:rPr>
        <w:footnoteRef/>
      </w:r>
      <w:r>
        <w:t xml:space="preserve"> For the purpose of this paper, shell companies are considered to be companies that are incorporated that have no significant operations or related assets.</w:t>
      </w:r>
    </w:p>
  </w:footnote>
  <w:footnote w:id="4">
    <w:p w14:paraId="790594E5" w14:textId="77777777" w:rsidR="00EC6B4B" w:rsidRDefault="001305B9">
      <w:pPr>
        <w:pStyle w:val="FootnoteText"/>
      </w:pPr>
      <w:r>
        <w:rPr>
          <w:rStyle w:val="FootnoteReference"/>
        </w:rPr>
        <w:footnoteRef/>
      </w:r>
      <w:r>
        <w:t xml:space="preserve"> The term “</w:t>
      </w:r>
      <w:r>
        <w:rPr>
          <w:i/>
        </w:rPr>
        <w:t>Competent authorities”</w:t>
      </w:r>
      <w:r>
        <w:t xml:space="preserve"> is as defined in</w:t>
      </w:r>
      <w:r>
        <w:rPr>
          <w:spacing w:val="1"/>
        </w:rPr>
        <w:t xml:space="preserve"> </w:t>
      </w:r>
      <w:r>
        <w:t>the</w:t>
      </w:r>
      <w:r>
        <w:rPr>
          <w:spacing w:val="-3"/>
        </w:rPr>
        <w:t xml:space="preserve"> </w:t>
      </w:r>
      <w:r>
        <w:t>glossary</w:t>
      </w:r>
      <w:r>
        <w:rPr>
          <w:spacing w:val="1"/>
        </w:rPr>
        <w:t xml:space="preserve"> </w:t>
      </w:r>
      <w:r>
        <w:t>of</w:t>
      </w:r>
      <w:r>
        <w:rPr>
          <w:spacing w:val="-2"/>
        </w:rPr>
        <w:t xml:space="preserve"> </w:t>
      </w:r>
      <w:r>
        <w:t>the</w:t>
      </w:r>
      <w:r>
        <w:rPr>
          <w:spacing w:val="-2"/>
        </w:rPr>
        <w:t xml:space="preserve"> </w:t>
      </w:r>
      <w:r>
        <w:rPr>
          <w:iCs/>
        </w:rPr>
        <w:t>FATF</w:t>
      </w:r>
      <w:r>
        <w:rPr>
          <w:iCs/>
          <w:spacing w:val="1"/>
        </w:rPr>
        <w:t xml:space="preserve"> </w:t>
      </w:r>
      <w:r>
        <w:rPr>
          <w:iCs/>
        </w:rPr>
        <w:t>Recommendations.</w:t>
      </w:r>
      <w:r>
        <w:t xml:space="preserve"> In essence, the term refers to all public authorities with designated responsibilities for combating money laundering and/or terrorist financing. </w:t>
      </w:r>
    </w:p>
  </w:footnote>
  <w:footnote w:id="5">
    <w:p w14:paraId="662DFC37" w14:textId="77777777" w:rsidR="00EC6B4B" w:rsidRDefault="001305B9">
      <w:pPr>
        <w:pStyle w:val="FootnoteText"/>
      </w:pPr>
      <w:r>
        <w:rPr>
          <w:rStyle w:val="FootnoteReference"/>
        </w:rPr>
        <w:footnoteRef/>
      </w:r>
      <w:r>
        <w:t xml:space="preserve"> See section 3 of this guidance on beneficial ownership information.</w:t>
      </w:r>
    </w:p>
  </w:footnote>
  <w:footnote w:id="6">
    <w:p w14:paraId="0D31C0E5" w14:textId="77777777" w:rsidR="00EC6B4B" w:rsidRDefault="001305B9">
      <w:pPr>
        <w:pStyle w:val="FootnoteText"/>
      </w:pPr>
      <w:r>
        <w:rPr>
          <w:rStyle w:val="FootnoteReference"/>
        </w:rPr>
        <w:footnoteRef/>
      </w:r>
      <w:r>
        <w:t xml:space="preserve"> Multi-jurisdictional structures can be particularly difficult to trace when transactions between related entities that appear legitimate are used to launder criminal proceeds. In such instances, delays in obtaining the international cooperation needed to follow the money trail may ultimately frustrate or undermine investigations.</w:t>
      </w:r>
    </w:p>
  </w:footnote>
  <w:footnote w:id="7">
    <w:p w14:paraId="48C1CEC8" w14:textId="77777777" w:rsidR="00EC6B4B" w:rsidRDefault="001305B9">
      <w:pPr>
        <w:pStyle w:val="FootnoteText"/>
      </w:pPr>
      <w:r>
        <w:rPr>
          <w:rStyle w:val="FootnoteReference"/>
        </w:rPr>
        <w:footnoteRef/>
      </w:r>
      <w:r>
        <w:t xml:space="preserve"> See Public Statement on revisions to R.24 at </w:t>
      </w:r>
      <w:hyperlink r:id="rId1" w:history="1">
        <w:r w:rsidR="004E1359">
          <w:rPr>
            <w:rStyle w:val="Hyperlink"/>
          </w:rPr>
          <w:t>https://www.fatf-gafi.org/publications/fatfrecommendations/documents/r24-statement-march-2022.html</w:t>
        </w:r>
      </w:hyperlink>
      <w:r>
        <w:rPr>
          <w:rStyle w:val="Hyperlink"/>
        </w:rPr>
        <w:t>.</w:t>
      </w:r>
    </w:p>
  </w:footnote>
  <w:footnote w:id="8">
    <w:p w14:paraId="4E26B455" w14:textId="77777777" w:rsidR="00EC6B4B" w:rsidRDefault="001305B9">
      <w:pPr>
        <w:pStyle w:val="FootnoteText"/>
      </w:pPr>
      <w:r>
        <w:rPr>
          <w:rStyle w:val="FootnoteReference"/>
        </w:rPr>
        <w:footnoteRef/>
      </w:r>
      <w:r>
        <w:t xml:space="preserve"> See the results of the mutual evaluation reports of FATF and FATF-style regional bodies (FSRBs). As reflected in the stocktake of mutual evaluations, countries’ effectiveness under Immediate Outcome (IO) 5 is the lowest among all IOs, with 9% of countries meeting the effectiveness requirement of the IO. With respect to technical compliance, countries have an insufficient compliance level on Recommendation 24, with less than half of countries rated compliant or largely compliant. In many countries, information on the beneficial owner (in addition to the legal owner) of a company is not available as it is not collected and/or sufficiently verified at the time the corporate vehicle is created, nor at any stage throughout its existence.</w:t>
      </w:r>
    </w:p>
  </w:footnote>
  <w:footnote w:id="9">
    <w:p w14:paraId="3DE10D60" w14:textId="77777777" w:rsidR="00EC6B4B" w:rsidRDefault="001305B9">
      <w:pPr>
        <w:pStyle w:val="FootnoteText"/>
      </w:pPr>
      <w:r>
        <w:rPr>
          <w:rStyle w:val="FootnoteReference"/>
          <w:sz w:val="20"/>
        </w:rPr>
        <w:footnoteRef/>
      </w:r>
      <w:r>
        <w:t xml:space="preserve"> </w:t>
      </w:r>
      <w:r>
        <w:rPr>
          <w:szCs w:val="18"/>
        </w:rPr>
        <w:t>All</w:t>
      </w:r>
      <w:r>
        <w:rPr>
          <w:spacing w:val="-3"/>
          <w:szCs w:val="18"/>
        </w:rPr>
        <w:t xml:space="preserve"> </w:t>
      </w:r>
      <w:r>
        <w:rPr>
          <w:szCs w:val="18"/>
        </w:rPr>
        <w:t>references</w:t>
      </w:r>
      <w:r>
        <w:rPr>
          <w:spacing w:val="-3"/>
          <w:szCs w:val="18"/>
        </w:rPr>
        <w:t xml:space="preserve"> </w:t>
      </w:r>
      <w:r>
        <w:rPr>
          <w:szCs w:val="18"/>
        </w:rPr>
        <w:t>in</w:t>
      </w:r>
      <w:r>
        <w:rPr>
          <w:spacing w:val="-2"/>
          <w:szCs w:val="18"/>
        </w:rPr>
        <w:t xml:space="preserve"> </w:t>
      </w:r>
      <w:r>
        <w:rPr>
          <w:szCs w:val="18"/>
        </w:rPr>
        <w:t>this</w:t>
      </w:r>
      <w:r>
        <w:rPr>
          <w:spacing w:val="-3"/>
          <w:szCs w:val="18"/>
        </w:rPr>
        <w:t xml:space="preserve"> </w:t>
      </w:r>
      <w:r>
        <w:rPr>
          <w:szCs w:val="18"/>
        </w:rPr>
        <w:t>guidance</w:t>
      </w:r>
      <w:r>
        <w:rPr>
          <w:spacing w:val="-3"/>
          <w:szCs w:val="18"/>
        </w:rPr>
        <w:t xml:space="preserve"> </w:t>
      </w:r>
      <w:r>
        <w:rPr>
          <w:szCs w:val="18"/>
        </w:rPr>
        <w:t>paper</w:t>
      </w:r>
      <w:r>
        <w:rPr>
          <w:spacing w:val="-2"/>
          <w:szCs w:val="18"/>
        </w:rPr>
        <w:t xml:space="preserve"> </w:t>
      </w:r>
      <w:r>
        <w:rPr>
          <w:szCs w:val="18"/>
        </w:rPr>
        <w:t>to</w:t>
      </w:r>
      <w:r>
        <w:rPr>
          <w:spacing w:val="-4"/>
          <w:szCs w:val="18"/>
        </w:rPr>
        <w:t xml:space="preserve"> </w:t>
      </w:r>
      <w:r>
        <w:rPr>
          <w:szCs w:val="18"/>
        </w:rPr>
        <w:t>country</w:t>
      </w:r>
      <w:r>
        <w:rPr>
          <w:spacing w:val="-3"/>
          <w:szCs w:val="18"/>
        </w:rPr>
        <w:t xml:space="preserve"> </w:t>
      </w:r>
      <w:r>
        <w:rPr>
          <w:szCs w:val="18"/>
        </w:rPr>
        <w:t>or</w:t>
      </w:r>
      <w:r>
        <w:rPr>
          <w:spacing w:val="-4"/>
          <w:szCs w:val="18"/>
        </w:rPr>
        <w:t xml:space="preserve"> </w:t>
      </w:r>
      <w:r>
        <w:rPr>
          <w:szCs w:val="18"/>
        </w:rPr>
        <w:t>countries</w:t>
      </w:r>
      <w:r>
        <w:rPr>
          <w:spacing w:val="-3"/>
          <w:szCs w:val="18"/>
        </w:rPr>
        <w:t xml:space="preserve"> </w:t>
      </w:r>
      <w:r>
        <w:rPr>
          <w:szCs w:val="18"/>
        </w:rPr>
        <w:t>apply</w:t>
      </w:r>
      <w:r>
        <w:rPr>
          <w:spacing w:val="-3"/>
          <w:szCs w:val="18"/>
        </w:rPr>
        <w:t xml:space="preserve"> </w:t>
      </w:r>
      <w:r>
        <w:rPr>
          <w:szCs w:val="18"/>
        </w:rPr>
        <w:t>equally</w:t>
      </w:r>
      <w:r>
        <w:rPr>
          <w:spacing w:val="-3"/>
          <w:szCs w:val="18"/>
        </w:rPr>
        <w:t xml:space="preserve"> </w:t>
      </w:r>
      <w:r>
        <w:rPr>
          <w:szCs w:val="18"/>
        </w:rPr>
        <w:t>to</w:t>
      </w:r>
      <w:r>
        <w:rPr>
          <w:spacing w:val="-3"/>
          <w:szCs w:val="18"/>
        </w:rPr>
        <w:t xml:space="preserve"> </w:t>
      </w:r>
      <w:r>
        <w:rPr>
          <w:szCs w:val="18"/>
        </w:rPr>
        <w:t>territories</w:t>
      </w:r>
      <w:r>
        <w:rPr>
          <w:spacing w:val="-3"/>
          <w:szCs w:val="18"/>
        </w:rPr>
        <w:t xml:space="preserve"> </w:t>
      </w:r>
      <w:r>
        <w:rPr>
          <w:szCs w:val="18"/>
        </w:rPr>
        <w:t>or</w:t>
      </w:r>
      <w:r>
        <w:rPr>
          <w:spacing w:val="-4"/>
          <w:szCs w:val="18"/>
        </w:rPr>
        <w:t xml:space="preserve"> </w:t>
      </w:r>
      <w:r>
        <w:rPr>
          <w:szCs w:val="18"/>
        </w:rPr>
        <w:t>jurisdictions.</w:t>
      </w:r>
    </w:p>
  </w:footnote>
  <w:footnote w:id="10">
    <w:p w14:paraId="7DCAF64F" w14:textId="77777777" w:rsidR="00EC6B4B" w:rsidRDefault="001305B9">
      <w:pPr>
        <w:pStyle w:val="FootnoteText"/>
      </w:pPr>
      <w:r>
        <w:rPr>
          <w:rStyle w:val="FootnoteReference"/>
        </w:rPr>
        <w:footnoteRef/>
      </w:r>
      <w:r>
        <w:t xml:space="preserve"> See section 14 of this guidance on access to information.</w:t>
      </w:r>
    </w:p>
  </w:footnote>
  <w:footnote w:id="11">
    <w:p w14:paraId="6E583E1D" w14:textId="77777777" w:rsidR="00EC6B4B" w:rsidRDefault="001305B9">
      <w:pPr>
        <w:pStyle w:val="FootnoteText"/>
      </w:pPr>
      <w:r>
        <w:rPr>
          <w:rStyle w:val="FootnoteReference"/>
        </w:rPr>
        <w:footnoteRef/>
      </w:r>
      <w:r>
        <w:t xml:space="preserve"> See section 6 of this guidance on verification.</w:t>
      </w:r>
    </w:p>
  </w:footnote>
  <w:footnote w:id="12">
    <w:p w14:paraId="4A53E3D5" w14:textId="77777777" w:rsidR="00EC6B4B" w:rsidRDefault="001305B9">
      <w:pPr>
        <w:pStyle w:val="FootnoteText"/>
      </w:pPr>
      <w:r>
        <w:rPr>
          <w:rStyle w:val="FootnoteReference"/>
        </w:rPr>
        <w:footnoteRef/>
      </w:r>
      <w:r>
        <w:t xml:space="preserve"> G20 Communiqué from the Meeting of G20 Finance Ministers &amp; Central Bank Governors (Jakarta, 17-18 February 2022).</w:t>
      </w:r>
    </w:p>
  </w:footnote>
  <w:footnote w:id="13">
    <w:p w14:paraId="0F58419E" w14:textId="77777777" w:rsidR="00EC6B4B" w:rsidRDefault="001305B9">
      <w:pPr>
        <w:pStyle w:val="FootnoteText"/>
      </w:pPr>
      <w:r>
        <w:rPr>
          <w:rStyle w:val="FootnoteReference"/>
        </w:rPr>
        <w:footnoteRef/>
      </w:r>
      <w:r>
        <w:t xml:space="preserve"> See G7 Factsheet on beneficial ownership </w:t>
      </w:r>
      <w:hyperlink r:id="rId2" w:history="1">
        <w:r w:rsidR="004E1359">
          <w:rPr>
            <w:rStyle w:val="Hyperlink"/>
          </w:rPr>
          <w:t>G7 Factsheet – beneficial ownership - GOV.UK (www.gov.uk)</w:t>
        </w:r>
      </w:hyperlink>
      <w:r>
        <w:rPr>
          <w:rStyle w:val="Hyperlink"/>
        </w:rPr>
        <w:t>.</w:t>
      </w:r>
    </w:p>
  </w:footnote>
  <w:footnote w:id="14">
    <w:p w14:paraId="47D9F8B4" w14:textId="77777777" w:rsidR="00EC6B4B" w:rsidRDefault="001305B9">
      <w:pPr>
        <w:pStyle w:val="FootnoteText"/>
      </w:pPr>
      <w:r>
        <w:rPr>
          <w:rStyle w:val="FootnoteReference"/>
        </w:rPr>
        <w:footnoteRef/>
      </w:r>
      <w:r>
        <w:t xml:space="preserve"> See </w:t>
      </w:r>
      <w:hyperlink r:id="rId3" w:history="1">
        <w:r w:rsidR="004E1359">
          <w:rPr>
            <w:rStyle w:val="Hyperlink"/>
          </w:rPr>
          <w:t>https://star.worldbank.org/</w:t>
        </w:r>
      </w:hyperlink>
      <w:r>
        <w:rPr>
          <w:rStyle w:val="Hyperlink"/>
        </w:rPr>
        <w:t>,</w:t>
      </w:r>
      <w:r>
        <w:t xml:space="preserve"> </w:t>
      </w:r>
      <w:hyperlink r:id="rId4" w:history="1">
        <w:r w:rsidR="004E1359">
          <w:rPr>
            <w:rStyle w:val="Hyperlink"/>
          </w:rPr>
          <w:t>https://www.oecd.org/tax/transparency/beneficial-ownership-toolkit.pdf</w:t>
        </w:r>
      </w:hyperlink>
      <w:r>
        <w:rPr>
          <w:rStyle w:val="Hyperlink"/>
        </w:rPr>
        <w:t xml:space="preserve"> </w:t>
      </w:r>
      <w:r>
        <w:t xml:space="preserve">and </w:t>
      </w:r>
      <w:hyperlink r:id="rId5" w:history="1">
        <w:r w:rsidR="004E1359">
          <w:rPr>
            <w:rStyle w:val="Hyperlink"/>
          </w:rPr>
          <w:t>https://www.worldbank.org/en/topic/financialmarketintegrity/brief/national-money-laundering-and-terrorist-financing-risk-assessment-toolkit-disclaimer-and-terms-of-use</w:t>
        </w:r>
      </w:hyperlink>
    </w:p>
  </w:footnote>
  <w:footnote w:id="15">
    <w:p w14:paraId="1026F4F9" w14:textId="77777777" w:rsidR="00EC6B4B" w:rsidRDefault="001305B9">
      <w:pPr>
        <w:pStyle w:val="FootnoteText"/>
        <w:jc w:val="left"/>
        <w:rPr>
          <w:rStyle w:val="Hyperlink"/>
          <w:lang w:val="en-US"/>
        </w:rPr>
      </w:pPr>
      <w:r>
        <w:rPr>
          <w:rStyle w:val="FootnoteReference"/>
        </w:rPr>
        <w:footnoteRef/>
      </w:r>
      <w:r>
        <w:rPr>
          <w:lang w:val="en-US"/>
        </w:rPr>
        <w:t xml:space="preserve"> See </w:t>
      </w:r>
      <w:hyperlink r:id="rId6" w:history="1">
        <w:r w:rsidR="004E1359">
          <w:rPr>
            <w:rStyle w:val="Hyperlink"/>
            <w:lang w:val="en-US"/>
          </w:rPr>
          <w:t>https://www.imf.org/-/media/Files/Publications/PP/2020/English/PPEA2020033.ashx</w:t>
        </w:r>
      </w:hyperlink>
      <w:r>
        <w:rPr>
          <w:lang w:val="en-US"/>
        </w:rPr>
        <w:t xml:space="preserve"> and </w:t>
      </w:r>
      <w:hyperlink r:id="rId7" w:history="1">
        <w:r w:rsidR="004E1359">
          <w:rPr>
            <w:rStyle w:val="Hyperlink"/>
            <w:lang w:val="en-US"/>
          </w:rPr>
          <w:t>https://www.imf.org/en/Topics/governance-and-anti-corruption/implementation-of-governance-measures-in-pandemic-related-spending-may-2022</w:t>
        </w:r>
      </w:hyperlink>
      <w:r>
        <w:rPr>
          <w:rStyle w:val="Hyperlink"/>
          <w:lang w:val="en-US"/>
        </w:rPr>
        <w:t xml:space="preserve">. </w:t>
      </w:r>
    </w:p>
  </w:footnote>
  <w:footnote w:id="16">
    <w:p w14:paraId="4190B74B" w14:textId="77777777" w:rsidR="00EC6B4B" w:rsidRDefault="001305B9">
      <w:pPr>
        <w:pStyle w:val="FootnoteText"/>
      </w:pPr>
      <w:r>
        <w:rPr>
          <w:rStyle w:val="FootnoteReference"/>
        </w:rPr>
        <w:footnoteRef/>
      </w:r>
      <w:r>
        <w:t xml:space="preserve"> Such</w:t>
      </w:r>
      <w:r>
        <w:rPr>
          <w:spacing w:val="1"/>
        </w:rPr>
        <w:t xml:space="preserve"> </w:t>
      </w:r>
      <w:r>
        <w:t>as</w:t>
      </w:r>
      <w:r>
        <w:rPr>
          <w:spacing w:val="1"/>
        </w:rPr>
        <w:t xml:space="preserve"> </w:t>
      </w:r>
      <w:r>
        <w:t>the</w:t>
      </w:r>
      <w:r>
        <w:rPr>
          <w:spacing w:val="1"/>
        </w:rPr>
        <w:t xml:space="preserve"> </w:t>
      </w:r>
      <w:r>
        <w:rPr>
          <w:i/>
        </w:rPr>
        <w:t>United Nations</w:t>
      </w:r>
      <w:r>
        <w:rPr>
          <w:i/>
          <w:spacing w:val="1"/>
        </w:rPr>
        <w:t xml:space="preserve"> </w:t>
      </w:r>
      <w:r>
        <w:rPr>
          <w:i/>
        </w:rPr>
        <w:t>Convention Against</w:t>
      </w:r>
      <w:r>
        <w:rPr>
          <w:i/>
          <w:spacing w:val="1"/>
        </w:rPr>
        <w:t xml:space="preserve"> </w:t>
      </w:r>
      <w:r>
        <w:rPr>
          <w:i/>
        </w:rPr>
        <w:t>Corruption (UNCAC),</w:t>
      </w:r>
      <w:r>
        <w:rPr>
          <w:i/>
          <w:spacing w:val="1"/>
        </w:rPr>
        <w:t xml:space="preserve"> </w:t>
      </w:r>
      <w:r>
        <w:t xml:space="preserve">the </w:t>
      </w:r>
      <w:r>
        <w:rPr>
          <w:i/>
        </w:rPr>
        <w:t>Criminal</w:t>
      </w:r>
      <w:r>
        <w:rPr>
          <w:i/>
          <w:spacing w:val="1"/>
        </w:rPr>
        <w:t xml:space="preserve"> </w:t>
      </w:r>
      <w:r>
        <w:rPr>
          <w:i/>
        </w:rPr>
        <w:t>Law Convention on</w:t>
      </w:r>
      <w:r>
        <w:rPr>
          <w:i/>
          <w:spacing w:val="1"/>
        </w:rPr>
        <w:t xml:space="preserve"> </w:t>
      </w:r>
      <w:r>
        <w:rPr>
          <w:i/>
        </w:rPr>
        <w:t xml:space="preserve">Corruption, </w:t>
      </w:r>
      <w:r>
        <w:t xml:space="preserve">and the </w:t>
      </w:r>
      <w:r>
        <w:rPr>
          <w:i/>
        </w:rPr>
        <w:t>OECD Convention on Combating the Bribery of Foreign Public Officials in International</w:t>
      </w:r>
      <w:r>
        <w:rPr>
          <w:i/>
          <w:spacing w:val="1"/>
        </w:rPr>
        <w:t xml:space="preserve"> </w:t>
      </w:r>
      <w:r>
        <w:rPr>
          <w:i/>
        </w:rPr>
        <w:t>Business</w:t>
      </w:r>
      <w:r>
        <w:rPr>
          <w:i/>
          <w:spacing w:val="-2"/>
        </w:rPr>
        <w:t xml:space="preserve"> </w:t>
      </w:r>
      <w:r>
        <w:rPr>
          <w:i/>
        </w:rPr>
        <w:t>Transactions.</w:t>
      </w:r>
    </w:p>
  </w:footnote>
  <w:footnote w:id="17">
    <w:p w14:paraId="67D492FB" w14:textId="77777777" w:rsidR="00EC6B4B" w:rsidRDefault="001305B9">
      <w:pPr>
        <w:pStyle w:val="FootnoteText"/>
      </w:pPr>
      <w:r>
        <w:rPr>
          <w:rStyle w:val="FootnoteReference"/>
        </w:rPr>
        <w:footnoteRef/>
      </w:r>
      <w:r>
        <w:t xml:space="preserve"> Reference to Best Practices on Beneficial Ownership for Legal Persons (2019).</w:t>
      </w:r>
    </w:p>
  </w:footnote>
  <w:footnote w:id="18">
    <w:p w14:paraId="6117A61C" w14:textId="77777777" w:rsidR="00EC6B4B" w:rsidRDefault="001305B9">
      <w:pPr>
        <w:pStyle w:val="FootnoteText"/>
      </w:pPr>
      <w:r>
        <w:rPr>
          <w:rStyle w:val="FootnoteReference"/>
        </w:rPr>
        <w:footnoteRef/>
      </w:r>
      <w:r>
        <w:t xml:space="preserve"> R.24 applies to all legal persons. The requirements in this Guidance are described primarily with reference to companies, but similar requirements should be applied to other types of legal persons, taking into account their different forms and structures.</w:t>
      </w:r>
    </w:p>
  </w:footnote>
  <w:footnote w:id="19">
    <w:p w14:paraId="634C74D5" w14:textId="77777777" w:rsidR="00EC6B4B" w:rsidRDefault="001305B9">
      <w:pPr>
        <w:pStyle w:val="FootnoteText"/>
      </w:pPr>
      <w:r>
        <w:rPr>
          <w:rStyle w:val="FootnoteReference"/>
        </w:rPr>
        <w:footnoteRef/>
      </w:r>
      <w:r>
        <w:t xml:space="preserve"> FATF is conducting a review of Recommendation 25, which is expected for completion in 2023. </w:t>
      </w:r>
    </w:p>
  </w:footnote>
  <w:footnote w:id="20">
    <w:p w14:paraId="072B0878" w14:textId="77777777" w:rsidR="00EC6B4B" w:rsidRDefault="001305B9">
      <w:pPr>
        <w:pStyle w:val="FootnoteText"/>
      </w:pPr>
      <w:r>
        <w:rPr>
          <w:rStyle w:val="FootnoteReference"/>
        </w:rPr>
        <w:footnoteRef/>
      </w:r>
      <w:r>
        <w:t xml:space="preserve"> Countries may refer to the Guide to Beneficial Ownership Information: Legal Entities and Legal Arrangements published by various countries available at the World Bank/UNODC StAR website (</w:t>
      </w:r>
      <w:hyperlink r:id="rId8" w:history="1">
        <w:r w:rsidR="004E1359">
          <w:rPr>
            <w:rStyle w:val="Hyperlink"/>
          </w:rPr>
          <w:t>https://star.worldbank.org/</w:t>
        </w:r>
      </w:hyperlink>
      <w:r>
        <w:t>) for further reference.</w:t>
      </w:r>
    </w:p>
  </w:footnote>
  <w:footnote w:id="21">
    <w:p w14:paraId="18F08517" w14:textId="77777777" w:rsidR="00EC6B4B" w:rsidRDefault="001305B9">
      <w:pPr>
        <w:pStyle w:val="FootnoteText"/>
      </w:pPr>
      <w:r>
        <w:rPr>
          <w:rStyle w:val="FootnoteReference"/>
        </w:rPr>
        <w:footnoteRef/>
      </w:r>
      <w:r>
        <w:t xml:space="preserve"> See FN 49 to INR.24.</w:t>
      </w:r>
    </w:p>
  </w:footnote>
  <w:footnote w:id="22">
    <w:p w14:paraId="5E2E7E3F" w14:textId="77777777" w:rsidR="00EC6B4B" w:rsidRDefault="001305B9">
      <w:pPr>
        <w:pStyle w:val="FootnoteText"/>
        <w:rPr>
          <w:szCs w:val="18"/>
        </w:rPr>
      </w:pPr>
      <w:r>
        <w:rPr>
          <w:rStyle w:val="FootnoteReference"/>
        </w:rPr>
        <w:footnoteRef/>
      </w:r>
      <w:r>
        <w:t xml:space="preserve"> </w:t>
      </w:r>
      <w:r>
        <w:rPr>
          <w:szCs w:val="18"/>
        </w:rPr>
        <w:t>For the avoidance of doubt, “company registry” refers to a register(s) in the country of companies incorporated or licensed in that country and normally maintained by or for the incorporating authority; it does not refer to information held by or for the company itself.</w:t>
      </w:r>
    </w:p>
  </w:footnote>
  <w:footnote w:id="23">
    <w:p w14:paraId="38AE2E40" w14:textId="77777777" w:rsidR="00EC6B4B" w:rsidRDefault="001305B9">
      <w:pPr>
        <w:rPr>
          <w:sz w:val="18"/>
          <w:szCs w:val="18"/>
        </w:rPr>
      </w:pPr>
      <w:r>
        <w:rPr>
          <w:rStyle w:val="FootnoteReference"/>
          <w:sz w:val="18"/>
          <w:szCs w:val="18"/>
        </w:rPr>
        <w:footnoteRef/>
      </w:r>
      <w:r>
        <w:rPr>
          <w:sz w:val="18"/>
          <w:szCs w:val="18"/>
        </w:rPr>
        <w:t xml:space="preserve"> Or another public body in the case of a tax identification number.</w:t>
      </w:r>
    </w:p>
  </w:footnote>
  <w:footnote w:id="24">
    <w:p w14:paraId="0D310E4B" w14:textId="77777777" w:rsidR="00EC6B4B" w:rsidRDefault="001305B9">
      <w:pPr>
        <w:tabs>
          <w:tab w:val="left" w:pos="1457"/>
        </w:tabs>
        <w:autoSpaceDE w:val="0"/>
        <w:autoSpaceDN w:val="0"/>
        <w:spacing w:before="122" w:line="278" w:lineRule="auto"/>
        <w:ind w:right="221"/>
        <w:rPr>
          <w:rFonts w:eastAsia="Cambria"/>
          <w:color w:val="FF0000"/>
          <w:sz w:val="20"/>
          <w:szCs w:val="20"/>
          <w:u w:val="single"/>
        </w:rPr>
      </w:pPr>
      <w:r>
        <w:rPr>
          <w:rStyle w:val="FootnoteReference"/>
          <w:sz w:val="18"/>
          <w:szCs w:val="18"/>
        </w:rPr>
        <w:footnoteRef/>
      </w:r>
      <w:r>
        <w:rPr>
          <w:sz w:val="18"/>
          <w:szCs w:val="18"/>
        </w:rPr>
        <w:t xml:space="preserve"> Tax identification number (TIN) is a common unique identifier, which may be used by countries. Countries may choose to use other high integrity identifiers with an equivalent level of identification instead of TIN to identify a particular legal person. Non exhaustive examples of a</w:t>
      </w:r>
      <w:r>
        <w:rPr>
          <w:rFonts w:eastAsia="Cambria"/>
          <w:sz w:val="18"/>
          <w:szCs w:val="18"/>
        </w:rPr>
        <w:t xml:space="preserve"> unique identifier could be a VAT identification number, an income tax registration number, a national (company) register number or legal entity identifier (LEI).</w:t>
      </w:r>
      <w:r>
        <w:rPr>
          <w:rFonts w:eastAsia="Cambria"/>
          <w:sz w:val="20"/>
          <w:szCs w:val="20"/>
          <w:u w:val="single"/>
        </w:rPr>
        <w:t xml:space="preserve"> </w:t>
      </w:r>
    </w:p>
  </w:footnote>
  <w:footnote w:id="25">
    <w:p w14:paraId="2DFDF9D6" w14:textId="77777777" w:rsidR="00EC6B4B" w:rsidRDefault="001305B9">
      <w:pPr>
        <w:pStyle w:val="FootnoteText"/>
      </w:pPr>
      <w:r>
        <w:rPr>
          <w:rStyle w:val="FootnoteReference"/>
        </w:rPr>
        <w:footnoteRef/>
      </w:r>
      <w:r>
        <w:t xml:space="preserve"> Interpretive Note to Recommendation 24, par. 1.</w:t>
      </w:r>
    </w:p>
  </w:footnote>
  <w:footnote w:id="26">
    <w:p w14:paraId="03664F20" w14:textId="77777777" w:rsidR="00EC6B4B" w:rsidRDefault="001305B9">
      <w:pPr>
        <w:pStyle w:val="FootnoteText"/>
      </w:pPr>
      <w:r>
        <w:rPr>
          <w:rStyle w:val="FootnoteReference"/>
        </w:rPr>
        <w:footnoteRef/>
      </w:r>
      <w:r>
        <w:t xml:space="preserve"> The glossary definition also captures situations covered under Recommendations 10 and 25.</w:t>
      </w:r>
    </w:p>
  </w:footnote>
  <w:footnote w:id="27">
    <w:p w14:paraId="06F643F0" w14:textId="77777777" w:rsidR="00EC6B4B" w:rsidRDefault="001305B9">
      <w:pPr>
        <w:pStyle w:val="FootnoteText"/>
      </w:pPr>
      <w:r>
        <w:rPr>
          <w:vertAlign w:val="superscript"/>
        </w:rPr>
        <w:footnoteRef/>
      </w:r>
      <w:r>
        <w:rPr>
          <w:vertAlign w:val="superscript"/>
        </w:rPr>
        <w:t xml:space="preserve"> </w:t>
      </w:r>
      <w:r>
        <w:t xml:space="preserve">Ownership interests can be so diversified that there are no natural persons, whether acting alone or together, who exercise control of the legal person through legal ownership. </w:t>
      </w:r>
    </w:p>
  </w:footnote>
  <w:footnote w:id="28">
    <w:p w14:paraId="30990257" w14:textId="77777777" w:rsidR="00EC6B4B" w:rsidRDefault="001305B9">
      <w:pPr>
        <w:pStyle w:val="FootnoteText"/>
      </w:pPr>
      <w:r>
        <w:rPr>
          <w:rStyle w:val="FootnoteReference"/>
        </w:rPr>
        <w:footnoteRef/>
      </w:r>
      <w:r>
        <w:t xml:space="preserve"> Interpretive</w:t>
      </w:r>
      <w:r>
        <w:rPr>
          <w:spacing w:val="-5"/>
        </w:rPr>
        <w:t xml:space="preserve"> </w:t>
      </w:r>
      <w:r>
        <w:t>Note</w:t>
      </w:r>
      <w:r>
        <w:rPr>
          <w:spacing w:val="-5"/>
        </w:rPr>
        <w:t xml:space="preserve"> </w:t>
      </w:r>
      <w:r>
        <w:t>to</w:t>
      </w:r>
      <w:r>
        <w:rPr>
          <w:spacing w:val="-3"/>
        </w:rPr>
        <w:t xml:space="preserve"> </w:t>
      </w:r>
      <w:r>
        <w:t>Recommendation</w:t>
      </w:r>
      <w:r>
        <w:rPr>
          <w:spacing w:val="-6"/>
        </w:rPr>
        <w:t xml:space="preserve"> </w:t>
      </w:r>
      <w:r>
        <w:t>10,</w:t>
      </w:r>
      <w:r>
        <w:rPr>
          <w:spacing w:val="-3"/>
        </w:rPr>
        <w:t xml:space="preserve"> </w:t>
      </w:r>
      <w:r>
        <w:t>par.</w:t>
      </w:r>
      <w:r>
        <w:rPr>
          <w:spacing w:val="-4"/>
        </w:rPr>
        <w:t xml:space="preserve"> </w:t>
      </w:r>
      <w:r>
        <w:t>5(b)(i); Interpretive Note to Recommendation 24, paragraph 9.</w:t>
      </w:r>
    </w:p>
  </w:footnote>
  <w:footnote w:id="29">
    <w:p w14:paraId="78FB8743" w14:textId="77777777" w:rsidR="00EC6B4B" w:rsidRDefault="001305B9">
      <w:pPr>
        <w:pStyle w:val="FootnoteText"/>
        <w:rPr>
          <w:szCs w:val="18"/>
        </w:rPr>
      </w:pPr>
      <w:r>
        <w:rPr>
          <w:rStyle w:val="FootnoteReference"/>
        </w:rPr>
        <w:footnoteRef/>
      </w:r>
      <w:r>
        <w:t xml:space="preserve"> </w:t>
      </w:r>
      <w:r>
        <w:rPr>
          <w:szCs w:val="18"/>
        </w:rPr>
        <w:t>Interpretive Note to Recommendation 24, par.2(d-e).</w:t>
      </w:r>
    </w:p>
  </w:footnote>
  <w:footnote w:id="30">
    <w:p w14:paraId="6481165D" w14:textId="77777777" w:rsidR="00EC6B4B" w:rsidRDefault="001305B9">
      <w:pPr>
        <w:pStyle w:val="FootnoteText"/>
        <w:rPr>
          <w:szCs w:val="18"/>
        </w:rPr>
      </w:pPr>
      <w:r>
        <w:rPr>
          <w:rStyle w:val="FootnoteReference"/>
          <w:sz w:val="18"/>
          <w:szCs w:val="18"/>
        </w:rPr>
        <w:footnoteRef/>
      </w:r>
      <w:r>
        <w:rPr>
          <w:szCs w:val="18"/>
        </w:rPr>
        <w:t xml:space="preserve"> See section 15 on Nominees.</w:t>
      </w:r>
    </w:p>
  </w:footnote>
  <w:footnote w:id="31">
    <w:p w14:paraId="4743E5E5" w14:textId="77777777" w:rsidR="00EC6B4B" w:rsidRDefault="001305B9">
      <w:pPr>
        <w:pStyle w:val="FootnoteText"/>
        <w:rPr>
          <w:szCs w:val="18"/>
        </w:rPr>
      </w:pPr>
      <w:r>
        <w:rPr>
          <w:rStyle w:val="FootnoteReference"/>
          <w:sz w:val="18"/>
          <w:szCs w:val="18"/>
        </w:rPr>
        <w:footnoteRef/>
      </w:r>
      <w:r>
        <w:rPr>
          <w:szCs w:val="18"/>
        </w:rPr>
        <w:t xml:space="preserve"> For example, a company domiciled in one jurisdiction, that was formed by a TCSP in a second jurisdiction, has a nominee director from a third jurisdiction, and a corporate legal owner created in a fourth jurisdictions.</w:t>
      </w:r>
    </w:p>
  </w:footnote>
  <w:footnote w:id="32">
    <w:p w14:paraId="12D7628D" w14:textId="77777777" w:rsidR="00EC6B4B" w:rsidRDefault="001305B9">
      <w:pPr>
        <w:pStyle w:val="FootnoteText"/>
      </w:pPr>
      <w:r>
        <w:rPr>
          <w:rStyle w:val="FootnoteReference"/>
          <w:sz w:val="18"/>
          <w:szCs w:val="18"/>
        </w:rPr>
        <w:footnoteRef/>
      </w:r>
      <w:r>
        <w:rPr>
          <w:szCs w:val="18"/>
        </w:rPr>
        <w:t xml:space="preserve"> </w:t>
      </w:r>
      <w:r>
        <w:rPr>
          <w:rFonts w:eastAsia="Times New Roman" w:cstheme="minorHAnsi"/>
          <w:szCs w:val="18"/>
        </w:rPr>
        <w:t>FATF – Egmont Group (2018), Concealment of Beneficial Ownership.</w:t>
      </w:r>
    </w:p>
  </w:footnote>
  <w:footnote w:id="33">
    <w:p w14:paraId="6BEC8553" w14:textId="77777777" w:rsidR="00EC6B4B" w:rsidRDefault="001305B9">
      <w:pPr>
        <w:pStyle w:val="FootnoteText"/>
      </w:pPr>
      <w:r>
        <w:rPr>
          <w:rStyle w:val="FootnoteReference"/>
        </w:rPr>
        <w:footnoteRef/>
      </w:r>
      <w:r>
        <w:t xml:space="preserve"> See section 15 on nominees.</w:t>
      </w:r>
    </w:p>
  </w:footnote>
  <w:footnote w:id="34">
    <w:p w14:paraId="6BC3B3A4" w14:textId="77777777" w:rsidR="00EC6B4B" w:rsidRDefault="001305B9">
      <w:pPr>
        <w:pStyle w:val="FootnoteText"/>
      </w:pPr>
      <w:r>
        <w:rPr>
          <w:rStyle w:val="FootnoteReference"/>
        </w:rPr>
        <w:footnoteRef/>
      </w:r>
      <w:r>
        <w:t xml:space="preserve"> Also see description of de facto (or ‘shadow’) directors and informal nominee arrangements, in section 15 on nominees.</w:t>
      </w:r>
    </w:p>
  </w:footnote>
  <w:footnote w:id="35">
    <w:p w14:paraId="4DCF8966" w14:textId="77777777" w:rsidR="00EC6B4B" w:rsidRDefault="001305B9">
      <w:pPr>
        <w:pStyle w:val="FootnoteText"/>
      </w:pPr>
      <w:r>
        <w:rPr>
          <w:rStyle w:val="FootnoteReference"/>
        </w:rPr>
        <w:footnoteRef/>
      </w:r>
      <w:r>
        <w:t xml:space="preserve"> See FATF Best Practices on Beneficial Ownership for Legal Persons (2019).</w:t>
      </w:r>
    </w:p>
  </w:footnote>
  <w:footnote w:id="36">
    <w:p w14:paraId="2DD6DA68" w14:textId="77777777" w:rsidR="00EC6B4B" w:rsidRDefault="001305B9">
      <w:pPr>
        <w:pStyle w:val="FootnoteText"/>
        <w:rPr>
          <w:szCs w:val="18"/>
        </w:rPr>
      </w:pPr>
      <w:r>
        <w:rPr>
          <w:rStyle w:val="FootnoteReference"/>
        </w:rPr>
        <w:footnoteRef/>
      </w:r>
      <w:r>
        <w:t xml:space="preserve"> </w:t>
      </w:r>
      <w:r>
        <w:rPr>
          <w:szCs w:val="18"/>
        </w:rPr>
        <w:t>See Recommendation 31.</w:t>
      </w:r>
    </w:p>
  </w:footnote>
  <w:footnote w:id="37">
    <w:p w14:paraId="2685A525" w14:textId="77777777" w:rsidR="00EC6B4B" w:rsidRDefault="001305B9">
      <w:pPr>
        <w:pStyle w:val="FootnoteText"/>
        <w:rPr>
          <w:szCs w:val="18"/>
        </w:rPr>
      </w:pPr>
      <w:r>
        <w:rPr>
          <w:rStyle w:val="FootnoteReference"/>
          <w:sz w:val="18"/>
          <w:szCs w:val="18"/>
        </w:rPr>
        <w:footnoteRef/>
      </w:r>
      <w:r>
        <w:rPr>
          <w:szCs w:val="18"/>
        </w:rPr>
        <w:t xml:space="preserve"> See Interpretive Note to INR.24, paragraph 9. </w:t>
      </w:r>
    </w:p>
  </w:footnote>
  <w:footnote w:id="38">
    <w:p w14:paraId="701D3C5A" w14:textId="77777777" w:rsidR="00EC6B4B" w:rsidRDefault="001305B9">
      <w:pPr>
        <w:pStyle w:val="FootnoteText"/>
        <w:rPr>
          <w:i/>
        </w:rPr>
      </w:pPr>
      <w:r>
        <w:rPr>
          <w:rStyle w:val="FootnoteReference"/>
          <w:sz w:val="18"/>
          <w:szCs w:val="18"/>
        </w:rPr>
        <w:footnoteRef/>
      </w:r>
      <w:r>
        <w:rPr>
          <w:szCs w:val="18"/>
        </w:rPr>
        <w:t xml:space="preserve"> See Footnote 59 of FATF Recommendation 24</w:t>
      </w:r>
      <w:r>
        <w:rPr>
          <w:i/>
        </w:rPr>
        <w:t>.</w:t>
      </w:r>
    </w:p>
  </w:footnote>
  <w:footnote w:id="39">
    <w:p w14:paraId="2CA14694" w14:textId="77777777" w:rsidR="00EC6B4B" w:rsidRDefault="001305B9">
      <w:pPr>
        <w:pStyle w:val="FootnoteText"/>
      </w:pPr>
      <w:r>
        <w:rPr>
          <w:rStyle w:val="FootnoteReference"/>
        </w:rPr>
        <w:footnoteRef/>
      </w:r>
      <w:r>
        <w:t xml:space="preserve"> From the party submitting the information, which could include legal persons, their representatives, TCSPs or other service providers. </w:t>
      </w:r>
    </w:p>
  </w:footnote>
  <w:footnote w:id="40">
    <w:p w14:paraId="421D553C" w14:textId="77777777" w:rsidR="00EC6B4B" w:rsidRDefault="001305B9">
      <w:pPr>
        <w:pStyle w:val="FootnoteText"/>
      </w:pPr>
      <w:r>
        <w:rPr>
          <w:rStyle w:val="FootnoteReference"/>
        </w:rPr>
        <w:footnoteRef/>
      </w:r>
      <w:r>
        <w:t xml:space="preserve"> A nominee is never the beneficial owner of a legal person. See section 15 on nominee arrangements.</w:t>
      </w:r>
    </w:p>
  </w:footnote>
  <w:footnote w:id="41">
    <w:p w14:paraId="7A5BC4D9" w14:textId="77777777" w:rsidR="00EC6B4B" w:rsidRDefault="001305B9">
      <w:pPr>
        <w:pStyle w:val="FootnoteText"/>
      </w:pPr>
      <w:r>
        <w:rPr>
          <w:rStyle w:val="FootnoteReference"/>
        </w:rPr>
        <w:footnoteRef/>
      </w:r>
      <w:r>
        <w:t xml:space="preserve"> Interpretive Note to Recommendation 24, par. 11.</w:t>
      </w:r>
    </w:p>
  </w:footnote>
  <w:footnote w:id="42">
    <w:p w14:paraId="2D9BA1CF" w14:textId="77777777" w:rsidR="00EC6B4B" w:rsidRDefault="001305B9">
      <w:pPr>
        <w:pStyle w:val="FootnoteText"/>
        <w:rPr>
          <w:szCs w:val="18"/>
        </w:rPr>
      </w:pPr>
      <w:r>
        <w:rPr>
          <w:rStyle w:val="FootnoteReference"/>
        </w:rPr>
        <w:footnoteRef/>
      </w:r>
      <w:r>
        <w:t xml:space="preserve"> </w:t>
      </w:r>
      <w:r>
        <w:rPr>
          <w:szCs w:val="18"/>
        </w:rPr>
        <w:t>The recommended reasonable period of keeping information updated within one month is intended to serve as an indicative timeline.</w:t>
      </w:r>
    </w:p>
  </w:footnote>
  <w:footnote w:id="43">
    <w:p w14:paraId="469B481B" w14:textId="77777777" w:rsidR="00EC6B4B" w:rsidRDefault="001305B9">
      <w:pPr>
        <w:pStyle w:val="FootnoteText"/>
        <w:rPr>
          <w:szCs w:val="18"/>
        </w:rPr>
      </w:pPr>
      <w:r>
        <w:rPr>
          <w:rStyle w:val="FootnoteReference"/>
          <w:sz w:val="18"/>
          <w:szCs w:val="18"/>
        </w:rPr>
        <w:footnoteRef/>
      </w:r>
      <w:r>
        <w:rPr>
          <w:szCs w:val="18"/>
        </w:rPr>
        <w:t xml:space="preserve"> Also see section 11 on Mechanisms and sources of beneficial ownership information, which provides examples of considerations for countries in ensuring that the beneficial ownership information is kept up-to-date.</w:t>
      </w:r>
    </w:p>
  </w:footnote>
  <w:footnote w:id="44">
    <w:p w14:paraId="4E2A1FB4" w14:textId="77777777" w:rsidR="00EC6B4B" w:rsidRDefault="001305B9">
      <w:pPr>
        <w:pStyle w:val="FootnoteText"/>
        <w:rPr>
          <w:szCs w:val="18"/>
          <w:lang w:val="en-US"/>
        </w:rPr>
      </w:pPr>
      <w:r>
        <w:rPr>
          <w:rStyle w:val="FootnoteReference"/>
          <w:sz w:val="18"/>
          <w:szCs w:val="18"/>
        </w:rPr>
        <w:footnoteRef/>
      </w:r>
      <w:r>
        <w:rPr>
          <w:szCs w:val="18"/>
        </w:rPr>
        <w:t xml:space="preserve"> </w:t>
      </w:r>
      <w:r>
        <w:rPr>
          <w:szCs w:val="18"/>
          <w:lang w:val="en-US"/>
        </w:rPr>
        <w:t>Force majeure is defined as acts, events or circumstances beyond the control of the parties. Examples may include natural disasters, war or the death of a beneficial owner.</w:t>
      </w:r>
    </w:p>
  </w:footnote>
  <w:footnote w:id="45">
    <w:p w14:paraId="410F2BCF" w14:textId="77777777" w:rsidR="00EC6B4B" w:rsidRDefault="001305B9">
      <w:pPr>
        <w:pStyle w:val="FootnoteText"/>
        <w:rPr>
          <w:szCs w:val="18"/>
        </w:rPr>
      </w:pPr>
      <w:r>
        <w:rPr>
          <w:rStyle w:val="FootnoteReference"/>
          <w:sz w:val="18"/>
          <w:szCs w:val="18"/>
        </w:rPr>
        <w:footnoteRef/>
      </w:r>
      <w:r>
        <w:rPr>
          <w:szCs w:val="18"/>
        </w:rPr>
        <w:t xml:space="preserve"> For instance, through legislative reform and the use of technology.</w:t>
      </w:r>
    </w:p>
  </w:footnote>
  <w:footnote w:id="46">
    <w:p w14:paraId="7E1081DB" w14:textId="77777777" w:rsidR="00EC6B4B" w:rsidRDefault="001305B9">
      <w:pPr>
        <w:pStyle w:val="FootnoteText"/>
      </w:pPr>
      <w:r>
        <w:rPr>
          <w:rStyle w:val="FootnoteReference"/>
        </w:rPr>
        <w:footnoteRef/>
      </w:r>
      <w:r>
        <w:t xml:space="preserve"> Interpretive Note to Recommendation 24, par. 7(a).</w:t>
      </w:r>
    </w:p>
  </w:footnote>
  <w:footnote w:id="47">
    <w:p w14:paraId="5A52B0B5" w14:textId="77777777" w:rsidR="00EC6B4B" w:rsidRDefault="001305B9">
      <w:pPr>
        <w:pStyle w:val="FootnoteText"/>
      </w:pPr>
      <w:r>
        <w:rPr>
          <w:rStyle w:val="FootnoteReference"/>
        </w:rPr>
        <w:footnoteRef/>
      </w:r>
      <w:r>
        <w:t xml:space="preserve"> Interpretive Note to Recommendation 24, par. 4. Please also see Section 3 on basic ownership information.</w:t>
      </w:r>
    </w:p>
  </w:footnote>
  <w:footnote w:id="48">
    <w:p w14:paraId="3151FD3A" w14:textId="77777777" w:rsidR="00EC6B4B" w:rsidRDefault="001305B9">
      <w:pPr>
        <w:pStyle w:val="FootnoteText"/>
      </w:pPr>
      <w:r>
        <w:rPr>
          <w:rStyle w:val="FootnoteReference"/>
        </w:rPr>
        <w:footnoteRef/>
      </w:r>
      <w:r>
        <w:t xml:space="preserve"> For example, within one month (see Section 7, Up-to-date Beneficial Ownership Information).</w:t>
      </w:r>
    </w:p>
  </w:footnote>
  <w:footnote w:id="49">
    <w:p w14:paraId="316C5C02" w14:textId="77777777" w:rsidR="00EC6B4B" w:rsidRDefault="001305B9">
      <w:pPr>
        <w:pStyle w:val="FootnoteText"/>
      </w:pPr>
      <w:r>
        <w:rPr>
          <w:rStyle w:val="FootnoteReference"/>
        </w:rPr>
        <w:footnoteRef/>
      </w:r>
      <w:r>
        <w:t xml:space="preserve"> For example, are there penalties against beneficial owners who fail to provide the required information to the company? </w:t>
      </w:r>
    </w:p>
  </w:footnote>
  <w:footnote w:id="50">
    <w:p w14:paraId="25128C93" w14:textId="77777777" w:rsidR="00EC6B4B" w:rsidRDefault="001305B9">
      <w:pPr>
        <w:pStyle w:val="FootnoteText"/>
        <w:rPr>
          <w:lang w:val="en-US"/>
        </w:rPr>
      </w:pPr>
      <w:r>
        <w:rPr>
          <w:rStyle w:val="FootnoteReference"/>
        </w:rPr>
        <w:footnoteRef/>
      </w:r>
      <w:r>
        <w:t xml:space="preserve"> </w:t>
      </w:r>
      <w:r>
        <w:rPr>
          <w:lang w:val="en-US"/>
        </w:rPr>
        <w:t xml:space="preserve">See Section 17 on Sanctions. </w:t>
      </w:r>
    </w:p>
  </w:footnote>
  <w:footnote w:id="51">
    <w:p w14:paraId="53A7A0B1" w14:textId="77777777" w:rsidR="00EC6B4B" w:rsidRDefault="001305B9">
      <w:pPr>
        <w:autoSpaceDE w:val="0"/>
        <w:autoSpaceDN w:val="0"/>
        <w:rPr>
          <w:sz w:val="18"/>
          <w:szCs w:val="18"/>
          <w:lang w:val="en-US"/>
        </w:rPr>
      </w:pPr>
      <w:r>
        <w:rPr>
          <w:rStyle w:val="FootnoteReference"/>
          <w:sz w:val="20"/>
          <w:szCs w:val="20"/>
        </w:rPr>
        <w:footnoteRef/>
      </w:r>
      <w:r>
        <w:rPr>
          <w:sz w:val="20"/>
          <w:szCs w:val="20"/>
          <w:lang w:val="en-US"/>
        </w:rPr>
        <w:t xml:space="preserve"> </w:t>
      </w:r>
      <w:r>
        <w:rPr>
          <w:sz w:val="18"/>
          <w:szCs w:val="18"/>
        </w:rPr>
        <w:t>For</w:t>
      </w:r>
      <w:r>
        <w:rPr>
          <w:rFonts w:eastAsia="Times New Roman"/>
          <w:sz w:val="18"/>
          <w:szCs w:val="18"/>
          <w:lang w:val="en-US"/>
        </w:rPr>
        <w:t xml:space="preserve"> example, through a requirement to have at least one natural person local-resident director who has access to the beneficial ownership information.</w:t>
      </w:r>
    </w:p>
  </w:footnote>
  <w:footnote w:id="52">
    <w:p w14:paraId="60CC9677" w14:textId="77777777" w:rsidR="00EC6B4B" w:rsidRDefault="001305B9">
      <w:pPr>
        <w:pStyle w:val="FootnoteText"/>
        <w:ind w:left="284" w:hanging="284"/>
        <w:rPr>
          <w:szCs w:val="18"/>
        </w:rPr>
      </w:pPr>
      <w:r>
        <w:rPr>
          <w:rStyle w:val="FootnoteReference"/>
          <w:sz w:val="18"/>
          <w:szCs w:val="18"/>
        </w:rPr>
        <w:footnoteRef/>
      </w:r>
      <w:r>
        <w:rPr>
          <w:szCs w:val="18"/>
        </w:rPr>
        <w:tab/>
        <w:t>Interpretive Note to Recommendation 24, par. 7(b)(i). In addition, Interpretative Note to Recommendation 24 (footnote 11) defines that a body could record beneficial ownership information alongside other information (e.g. basic ownership and incorporation information, tax information), or the source of information could take the form of multiple registries (e.g. for provinces or districts, for sectors, or for specific types of legal person such as NPOs), or of a private body entrusted with this task by the public authority.</w:t>
      </w:r>
    </w:p>
  </w:footnote>
  <w:footnote w:id="53">
    <w:p w14:paraId="23B55037" w14:textId="77777777" w:rsidR="00EC6B4B" w:rsidRDefault="001305B9">
      <w:pPr>
        <w:pStyle w:val="FootnoteText"/>
        <w:ind w:left="284" w:hanging="284"/>
        <w:rPr>
          <w:rStyle w:val="FootnoteReference"/>
        </w:rPr>
      </w:pPr>
      <w:r>
        <w:rPr>
          <w:rStyle w:val="FootnoteReference"/>
        </w:rPr>
        <w:footnoteRef/>
      </w:r>
      <w:r>
        <w:rPr>
          <w:rStyle w:val="FootnoteReference"/>
        </w:rPr>
        <w:t xml:space="preserve"> </w:t>
      </w:r>
      <w:r>
        <w:rPr>
          <w:rStyle w:val="FootnoteReference"/>
        </w:rPr>
        <w:tab/>
      </w:r>
      <w:r>
        <w:t>See Interpretive Note to Recommendation 24, par. 18.</w:t>
      </w:r>
    </w:p>
  </w:footnote>
  <w:footnote w:id="54">
    <w:p w14:paraId="7DD3008E" w14:textId="77777777" w:rsidR="00EC6B4B" w:rsidRDefault="001305B9">
      <w:pPr>
        <w:pStyle w:val="FootnoteText"/>
      </w:pPr>
      <w:r>
        <w:rPr>
          <w:rStyle w:val="FootnoteReference"/>
        </w:rPr>
        <w:footnoteRef/>
      </w:r>
      <w:r>
        <w:t xml:space="preserve"> See Interpretive Note to R.24, par. 7(a) and paragraph 7(c).</w:t>
      </w:r>
    </w:p>
  </w:footnote>
  <w:footnote w:id="55">
    <w:p w14:paraId="22C938BB" w14:textId="77777777" w:rsidR="00EC6B4B" w:rsidRDefault="001305B9">
      <w:pPr>
        <w:pStyle w:val="FootnoteText"/>
      </w:pPr>
      <w:r>
        <w:rPr>
          <w:rStyle w:val="FootnoteReference"/>
        </w:rPr>
        <w:footnoteRef/>
      </w:r>
      <w:r>
        <w:rPr>
          <w:rFonts w:eastAsia="Cambria"/>
        </w:rPr>
        <w:t xml:space="preserve"> See Interpretive Note to Recommendation 24 par 7(b)(ii) (also see sections 6-8 on “adequate, accurate, and up-to-date beneficial ownership information”).</w:t>
      </w:r>
    </w:p>
  </w:footnote>
  <w:footnote w:id="56">
    <w:p w14:paraId="1C921C34" w14:textId="77777777" w:rsidR="00EC6B4B" w:rsidRDefault="001305B9">
      <w:pPr>
        <w:pStyle w:val="FootnoteText"/>
      </w:pPr>
      <w:r>
        <w:rPr>
          <w:rStyle w:val="FootnoteReference"/>
        </w:rPr>
        <w:footnoteRef/>
      </w:r>
      <w:r>
        <w:t xml:space="preserve"> (See sections 6-8 </w:t>
      </w:r>
      <w:r>
        <w:rPr>
          <w:rFonts w:eastAsia="Cambria"/>
        </w:rPr>
        <w:t>on “adequate, accurate, and up-to-date beneficial ownership information”).</w:t>
      </w:r>
    </w:p>
  </w:footnote>
  <w:footnote w:id="57">
    <w:p w14:paraId="2C50A832" w14:textId="77777777" w:rsidR="00EC6B4B" w:rsidRDefault="001305B9">
      <w:pPr>
        <w:pStyle w:val="FootnoteText"/>
      </w:pPr>
      <w:r>
        <w:rPr>
          <w:rStyle w:val="FootnoteReference"/>
        </w:rPr>
        <w:footnoteRef/>
      </w:r>
      <w:r>
        <w:t xml:space="preserve"> Interpretive Note to Recommendation 24, paragraph 7(c).</w:t>
      </w:r>
    </w:p>
  </w:footnote>
  <w:footnote w:id="58">
    <w:p w14:paraId="2D514D92" w14:textId="77777777" w:rsidR="00EC6B4B" w:rsidRDefault="001305B9">
      <w:pPr>
        <w:pStyle w:val="FootnoteText"/>
      </w:pPr>
      <w:r>
        <w:rPr>
          <w:rStyle w:val="FootnoteReference"/>
        </w:rPr>
        <w:footnoteRef/>
      </w:r>
      <w:r>
        <w:t xml:space="preserve"> See section 3 on risk assessment.</w:t>
      </w:r>
    </w:p>
  </w:footnote>
  <w:footnote w:id="59">
    <w:p w14:paraId="2319B7DA" w14:textId="77777777" w:rsidR="00EC6B4B" w:rsidRDefault="001305B9">
      <w:pPr>
        <w:pStyle w:val="FootnoteText"/>
      </w:pPr>
      <w:r>
        <w:rPr>
          <w:rStyle w:val="FootnoteReference"/>
        </w:rPr>
        <w:footnoteRef/>
      </w:r>
      <w:r>
        <w:t xml:space="preserve"> In general, beneficial ownership information provided to procurement authorities would not be dissimilar to that contract bidders and recipients would provide to their FIs or DNFBPs, which would enable timely provision of such information and minimise regulatory burdens.</w:t>
      </w:r>
    </w:p>
  </w:footnote>
  <w:footnote w:id="60">
    <w:p w14:paraId="2CAEE98F" w14:textId="77777777" w:rsidR="00EC6B4B" w:rsidRDefault="001305B9">
      <w:pPr>
        <w:pStyle w:val="FootnoteText"/>
      </w:pPr>
      <w:r>
        <w:rPr>
          <w:rStyle w:val="FootnoteReference"/>
        </w:rPr>
        <w:footnoteRef/>
      </w:r>
      <w:r>
        <w:t xml:space="preserve"> Interpretive Note to Recommendation 24, par 13.</w:t>
      </w:r>
    </w:p>
  </w:footnote>
  <w:footnote w:id="61">
    <w:p w14:paraId="4D42D1BD" w14:textId="77777777" w:rsidR="00EC6B4B" w:rsidRDefault="001305B9">
      <w:pPr>
        <w:pStyle w:val="FootnoteText"/>
      </w:pPr>
      <w:r>
        <w:rPr>
          <w:rStyle w:val="FootnoteReference"/>
        </w:rPr>
        <w:footnoteRef/>
      </w:r>
      <w:r>
        <w:t xml:space="preserve"> Interpretive Note to Recommendation 24, par 15(a) also requires nominee status to be included in public information. See section 15 below for additional guidance on nominee arrangements.</w:t>
      </w:r>
    </w:p>
  </w:footnote>
  <w:footnote w:id="62">
    <w:p w14:paraId="177521BE" w14:textId="77777777" w:rsidR="00EC6B4B" w:rsidRDefault="001305B9">
      <w:pPr>
        <w:pStyle w:val="FootnoteText"/>
      </w:pPr>
      <w:r>
        <w:rPr>
          <w:rStyle w:val="FootnoteReference"/>
        </w:rPr>
        <w:footnoteRef/>
      </w:r>
      <w:r>
        <w:t xml:space="preserve"> </w:t>
      </w:r>
      <w:r>
        <w:rPr>
          <w:color w:val="000000"/>
        </w:rPr>
        <w:t>This is applicable to the nominal owner of all registered shares.</w:t>
      </w:r>
    </w:p>
  </w:footnote>
  <w:footnote w:id="63">
    <w:p w14:paraId="039C46F3" w14:textId="77777777" w:rsidR="00EC6B4B" w:rsidRDefault="001305B9">
      <w:pPr>
        <w:pStyle w:val="FootnoteText"/>
      </w:pPr>
      <w:r>
        <w:rPr>
          <w:rStyle w:val="FootnoteReference"/>
        </w:rPr>
        <w:footnoteRef/>
      </w:r>
      <w:r>
        <w:t xml:space="preserve"> See Footnote 61 to FATF Recommendation.</w:t>
      </w:r>
    </w:p>
  </w:footnote>
  <w:footnote w:id="64">
    <w:p w14:paraId="1D5A9259" w14:textId="77777777" w:rsidR="00EC6B4B" w:rsidRDefault="001305B9">
      <w:pPr>
        <w:pStyle w:val="FootnoteText"/>
      </w:pPr>
      <w:r>
        <w:rPr>
          <w:rStyle w:val="FootnoteReference"/>
        </w:rPr>
        <w:footnoteRef/>
      </w:r>
      <w:r>
        <w:t xml:space="preserve"> For example, in France, since Law n°83-1179 dated 29 December 1983. Please also note that since the entry into force of Order n° 2017-1674, registered securities may also be registered on distributed ledger technology (</w:t>
      </w:r>
      <w:r>
        <w:rPr>
          <w:i/>
        </w:rPr>
        <w:t>dispositif d’enregistrement électronique partagé</w:t>
      </w:r>
      <w:r>
        <w:t>).</w:t>
      </w:r>
    </w:p>
  </w:footnote>
  <w:footnote w:id="65">
    <w:p w14:paraId="36AD3168" w14:textId="77777777" w:rsidR="00EC6B4B" w:rsidRDefault="001305B9">
      <w:pPr>
        <w:pStyle w:val="FootnoteText"/>
        <w:ind w:left="709" w:hanging="709"/>
      </w:pPr>
      <w:r>
        <w:rPr>
          <w:rStyle w:val="FootnoteReference"/>
        </w:rPr>
        <w:footnoteRef/>
      </w:r>
      <w:r>
        <w:t xml:space="preserve"> Article L. 228-1 of the French </w:t>
      </w:r>
      <w:r>
        <w:rPr>
          <w:i/>
        </w:rPr>
        <w:t>code de commerce</w:t>
      </w:r>
      <w:r>
        <w:t>.</w:t>
      </w:r>
    </w:p>
  </w:footnote>
  <w:footnote w:id="66">
    <w:p w14:paraId="2D4D2ACA" w14:textId="77777777" w:rsidR="00EC6B4B" w:rsidRDefault="001305B9">
      <w:pPr>
        <w:pStyle w:val="FootnoteText"/>
      </w:pPr>
      <w:r>
        <w:rPr>
          <w:rStyle w:val="FootnoteReference"/>
        </w:rPr>
        <w:footnoteRef/>
      </w:r>
      <w:r>
        <w:t xml:space="preserve"> While countries are expected to start making the necessary legislative/administrative changes following the adoption of revised Recommendation 24, countries will be assessed against the new standards from the next (fifth) round of mutual evaluations.</w:t>
      </w:r>
    </w:p>
  </w:footnote>
  <w:footnote w:id="67">
    <w:p w14:paraId="046F5038" w14:textId="77777777" w:rsidR="00EC6B4B" w:rsidRDefault="001305B9">
      <w:pPr>
        <w:pStyle w:val="FootnoteText"/>
      </w:pPr>
      <w:r>
        <w:rPr>
          <w:rStyle w:val="FootnoteReference"/>
        </w:rPr>
        <w:footnoteRef/>
      </w:r>
      <w:r>
        <w:t xml:space="preserve"> Interpretive Note to Recommendation 24 paragraph 15.</w:t>
      </w:r>
    </w:p>
  </w:footnote>
  <w:footnote w:id="68">
    <w:p w14:paraId="3D6516BC" w14:textId="77777777" w:rsidR="00EC6B4B" w:rsidRDefault="001305B9">
      <w:pPr>
        <w:pStyle w:val="FootnoteText"/>
      </w:pPr>
      <w:r>
        <w:rPr>
          <w:rStyle w:val="FootnoteReference"/>
        </w:rPr>
        <w:footnoteRef/>
      </w:r>
      <w:r>
        <w:t xml:space="preserve"> For instance, “director” may capture various other highest-level corporate roles responsible for general management of the legal person, such as management board member or managing director.</w:t>
      </w:r>
    </w:p>
  </w:footnote>
  <w:footnote w:id="69">
    <w:p w14:paraId="6A261272" w14:textId="77777777" w:rsidR="00EC6B4B" w:rsidRDefault="001305B9">
      <w:pPr>
        <w:pStyle w:val="FootnoteText"/>
      </w:pPr>
      <w:r>
        <w:rPr>
          <w:rStyle w:val="FootnoteReference"/>
        </w:rPr>
        <w:footnoteRef/>
      </w:r>
      <w:r>
        <w:t xml:space="preserve"> Also see section 15.4.</w:t>
      </w:r>
    </w:p>
  </w:footnote>
  <w:footnote w:id="70">
    <w:p w14:paraId="519E8BAF" w14:textId="77777777" w:rsidR="00EC6B4B" w:rsidRDefault="001305B9">
      <w:pPr>
        <w:pStyle w:val="FootnoteText"/>
      </w:pPr>
      <w:r>
        <w:rPr>
          <w:rStyle w:val="FootnoteReference"/>
        </w:rPr>
        <w:footnoteRef/>
      </w:r>
      <w:r>
        <w:t xml:space="preserve"> Such arrangements may take different forms in different jurisdictions or even within a jurisdiction, depending on their purpose. They should therefore be treated on the basis of their actual purpose.</w:t>
      </w:r>
    </w:p>
  </w:footnote>
  <w:footnote w:id="71">
    <w:p w14:paraId="4A61A478" w14:textId="77777777" w:rsidR="00EC6B4B" w:rsidRDefault="001305B9">
      <w:pPr>
        <w:pStyle w:val="FootnoteText"/>
      </w:pPr>
      <w:r>
        <w:rPr>
          <w:rStyle w:val="FootnoteReference"/>
        </w:rPr>
        <w:footnoteRef/>
      </w:r>
      <w:r>
        <w:t xml:space="preserve"> FATF is conducting a review of Recommendation 25 which is expected for completion in 2023.</w:t>
      </w:r>
    </w:p>
  </w:footnote>
  <w:footnote w:id="72">
    <w:p w14:paraId="1EEF7F04" w14:textId="77777777" w:rsidR="00EC6B4B" w:rsidRDefault="001305B9">
      <w:pPr>
        <w:pStyle w:val="FootnoteText"/>
      </w:pPr>
      <w:r>
        <w:rPr>
          <w:rStyle w:val="FootnoteReference"/>
        </w:rPr>
        <w:footnoteRef/>
      </w:r>
      <w:r>
        <w:t xml:space="preserve"> Some jurisdictions have defined hidden beneficial owners “shadow directors” under the law who exercise control through a (formal or informal) nominee.</w:t>
      </w:r>
    </w:p>
  </w:footnote>
  <w:footnote w:id="73">
    <w:p w14:paraId="64E873C0" w14:textId="77777777" w:rsidR="00EC6B4B" w:rsidRDefault="001305B9">
      <w:pPr>
        <w:pStyle w:val="FootnoteText"/>
      </w:pPr>
      <w:r>
        <w:rPr>
          <w:rStyle w:val="FootnoteReference"/>
        </w:rPr>
        <w:footnoteRef/>
      </w:r>
      <w:r>
        <w:t xml:space="preserve"> E.g., persons facing financial hardship sign for bogus companies against payment, often without a contract, and the further fulfilment of obligations may be brought about by coercion. Another example would be any situation where a person acquires, possesses or uses assets that are subject to the power of disposal of a criminal organisation on their behalf or in their interest.</w:t>
      </w:r>
    </w:p>
  </w:footnote>
  <w:footnote w:id="74">
    <w:p w14:paraId="44AD688A" w14:textId="77777777" w:rsidR="00EC6B4B" w:rsidRDefault="001305B9">
      <w:pPr>
        <w:pStyle w:val="FootnoteText"/>
      </w:pPr>
      <w:r>
        <w:rPr>
          <w:rStyle w:val="FootnoteReference"/>
        </w:rPr>
        <w:footnoteRef/>
      </w:r>
      <w:r>
        <w:t xml:space="preserve"> See Interpretative Note to Recommendation 24 paragraph 13a-c.</w:t>
      </w:r>
    </w:p>
  </w:footnote>
  <w:footnote w:id="75">
    <w:p w14:paraId="4B903D2A" w14:textId="77777777" w:rsidR="00EC6B4B" w:rsidRDefault="001305B9">
      <w:pPr>
        <w:pStyle w:val="FootnoteText"/>
      </w:pPr>
      <w:r>
        <w:rPr>
          <w:rStyle w:val="FootnoteReference"/>
        </w:rPr>
        <w:footnoteRef/>
      </w:r>
      <w:r>
        <w:t xml:space="preserve"> Following a risk-based approach, the regulation of nominee shareholders acting on behalf of nominators who do not meet the jurisdiction’s ownership threshold and who also do not exercise control over the company in other ways need not be applied unless specific risks exist, as the objective of the measures is to enhance effectiveness of transparency of beneficial ownership. </w:t>
      </w:r>
    </w:p>
  </w:footnote>
  <w:footnote w:id="76">
    <w:p w14:paraId="77875596" w14:textId="77777777" w:rsidR="00EC6B4B" w:rsidRDefault="001305B9">
      <w:pPr>
        <w:pStyle w:val="FootnoteText"/>
      </w:pPr>
      <w:r>
        <w:rPr>
          <w:rStyle w:val="FootnoteReference"/>
        </w:rPr>
        <w:footnoteRef/>
      </w:r>
      <w:r>
        <w:t xml:space="preserve"> StAR (2022), “</w:t>
      </w:r>
      <w:hyperlink r:id="rId9" w:history="1">
        <w:r w:rsidR="004E1359">
          <w:t>Signatures for Sale</w:t>
        </w:r>
      </w:hyperlink>
      <w:r>
        <w:t>”.</w:t>
      </w:r>
    </w:p>
  </w:footnote>
  <w:footnote w:id="77">
    <w:p w14:paraId="1DEB59D3" w14:textId="77777777" w:rsidR="00EC6B4B" w:rsidRDefault="001305B9">
      <w:pPr>
        <w:pStyle w:val="FootnoteText"/>
      </w:pPr>
      <w:r>
        <w:rPr>
          <w:rStyle w:val="FootnoteReference"/>
        </w:rPr>
        <w:footnoteRef/>
      </w:r>
      <w:r>
        <w:t xml:space="preserve"> Interpretative Note to Recommendation 1, par 2.</w:t>
      </w:r>
    </w:p>
  </w:footnote>
  <w:footnote w:id="78">
    <w:p w14:paraId="68E1B0B7" w14:textId="77777777" w:rsidR="00EC6B4B" w:rsidRDefault="001305B9">
      <w:pPr>
        <w:pStyle w:val="FootnoteText"/>
      </w:pPr>
      <w:r>
        <w:rPr>
          <w:rStyle w:val="FootnoteReference"/>
        </w:rPr>
        <w:footnoteRef/>
      </w:r>
      <w:r>
        <w:t xml:space="preserve"> See section 19.</w:t>
      </w:r>
    </w:p>
  </w:footnote>
  <w:footnote w:id="79">
    <w:p w14:paraId="35455E1B" w14:textId="77777777" w:rsidR="00EC6B4B" w:rsidRDefault="001305B9">
      <w:pPr>
        <w:pStyle w:val="FootnoteText"/>
      </w:pPr>
      <w:r>
        <w:rPr>
          <w:rStyle w:val="FootnoteReference"/>
        </w:rPr>
        <w:footnoteRef/>
      </w:r>
      <w:r>
        <w:t xml:space="preserve"> Employee representative on the supervisory board.</w:t>
      </w:r>
    </w:p>
  </w:footnote>
  <w:footnote w:id="80">
    <w:p w14:paraId="413814CA" w14:textId="77777777" w:rsidR="00EC6B4B" w:rsidRDefault="001305B9">
      <w:pPr>
        <w:pStyle w:val="FootnoteText"/>
        <w:spacing w:after="0"/>
      </w:pPr>
      <w:r>
        <w:rPr>
          <w:rStyle w:val="FootnoteReference"/>
        </w:rPr>
        <w:footnoteRef/>
      </w:r>
      <w:r>
        <w:t xml:space="preserve"> Interpretive Note to Recommendation 24 par 18.</w:t>
      </w:r>
    </w:p>
  </w:footnote>
  <w:footnote w:id="81">
    <w:p w14:paraId="1F826133" w14:textId="77777777" w:rsidR="00EC6B4B" w:rsidRDefault="001305B9">
      <w:r>
        <w:rPr>
          <w:rStyle w:val="FootnoteReference"/>
        </w:rPr>
        <w:footnoteRef/>
      </w:r>
      <w:r>
        <w:t xml:space="preserve"> </w:t>
      </w:r>
      <w:r>
        <w:rPr>
          <w:sz w:val="18"/>
          <w:szCs w:val="20"/>
        </w:rPr>
        <w:t>For the relationship with Recommendations 10 and 22, cf. section 5 on the Multi-Pronged Approach and section 12 on the additional supplementary measures.</w:t>
      </w:r>
    </w:p>
  </w:footnote>
  <w:footnote w:id="82">
    <w:p w14:paraId="67D7B6DE" w14:textId="77777777" w:rsidR="00EC6B4B" w:rsidRDefault="001305B9">
      <w:pPr>
        <w:pStyle w:val="FootnoteText"/>
      </w:pPr>
      <w:r>
        <w:rPr>
          <w:rStyle w:val="FootnoteReference"/>
        </w:rPr>
        <w:footnoteRef/>
      </w:r>
      <w:r>
        <w:t xml:space="preserve"> </w:t>
      </w:r>
      <w:r>
        <w:rPr>
          <w:rFonts w:hint="eastAsia"/>
        </w:rPr>
        <w:t>Interpretive Note to Recommendation 16, par</w:t>
      </w:r>
      <w:r>
        <w:t>a</w:t>
      </w:r>
      <w:r>
        <w:rPr>
          <w:rFonts w:hint="eastAsia"/>
        </w:rPr>
        <w:t>. 11-18</w:t>
      </w:r>
      <w:r>
        <w:t>.</w:t>
      </w:r>
    </w:p>
  </w:footnote>
  <w:footnote w:id="83">
    <w:p w14:paraId="598F5E94" w14:textId="77777777" w:rsidR="00EC6B4B" w:rsidRDefault="001305B9">
      <w:pPr>
        <w:pStyle w:val="FootnoteText"/>
      </w:pPr>
      <w:r>
        <w:rPr>
          <w:rStyle w:val="FootnoteReference"/>
        </w:rPr>
        <w:footnoteRef/>
      </w:r>
      <w:r>
        <w:t xml:space="preserve"> </w:t>
      </w:r>
      <w:r>
        <w:rPr>
          <w:rFonts w:hint="eastAsia"/>
        </w:rPr>
        <w:t>Virtual asset service provider means any natural or legal person who is not covered elsewhere under the FATF Recommendations, and as a business</w:t>
      </w:r>
      <w:r>
        <w:t xml:space="preserve"> </w:t>
      </w:r>
      <w:r>
        <w:rPr>
          <w:rFonts w:hint="eastAsia"/>
        </w:rPr>
        <w:t xml:space="preserve">conducts one or more of the following activities or operations for or on behalf of another natural or legal person: </w:t>
      </w:r>
    </w:p>
    <w:p w14:paraId="6C2C3E3D" w14:textId="77777777" w:rsidR="00EC6B4B" w:rsidRDefault="001305B9">
      <w:pPr>
        <w:pStyle w:val="FootnoteText"/>
        <w:spacing w:after="0"/>
        <w:ind w:left="992"/>
        <w:rPr>
          <w:rFonts w:ascii="SimSun" w:hAnsi="SimSun" w:cs="Calibri"/>
        </w:rPr>
      </w:pPr>
      <w:r>
        <w:rPr>
          <w:rFonts w:hint="eastAsia"/>
        </w:rPr>
        <w:t>i. exchange between virtual assets and fiat currencies;</w:t>
      </w:r>
    </w:p>
    <w:p w14:paraId="785C8844" w14:textId="77777777" w:rsidR="00EC6B4B" w:rsidRDefault="001305B9">
      <w:pPr>
        <w:pStyle w:val="FootnoteText"/>
        <w:spacing w:after="0"/>
        <w:ind w:left="992"/>
      </w:pPr>
      <w:r>
        <w:rPr>
          <w:rFonts w:hint="eastAsia"/>
        </w:rPr>
        <w:t>ii. exchange between one or more forms of virtual assets;</w:t>
      </w:r>
    </w:p>
    <w:p w14:paraId="10E49E4E" w14:textId="77777777" w:rsidR="00EC6B4B" w:rsidRDefault="001305B9">
      <w:pPr>
        <w:pStyle w:val="FootnoteText"/>
        <w:spacing w:after="0"/>
        <w:ind w:left="992"/>
      </w:pPr>
      <w:r>
        <w:rPr>
          <w:rFonts w:hint="eastAsia"/>
        </w:rPr>
        <w:t xml:space="preserve">iii. transfer of virtual assets; </w:t>
      </w:r>
    </w:p>
    <w:p w14:paraId="2D99C4B8" w14:textId="77777777" w:rsidR="00EC6B4B" w:rsidRDefault="001305B9">
      <w:pPr>
        <w:pStyle w:val="FootnoteText"/>
        <w:spacing w:after="0"/>
        <w:ind w:left="992"/>
      </w:pPr>
      <w:r>
        <w:rPr>
          <w:rFonts w:hint="eastAsia"/>
        </w:rPr>
        <w:t>iv. safekeeping and/or administration of virtual assets or instruments enabling control over virtual assets; and</w:t>
      </w:r>
    </w:p>
    <w:p w14:paraId="7F1C8B06" w14:textId="77777777" w:rsidR="00EC6B4B" w:rsidRDefault="001305B9">
      <w:pPr>
        <w:pStyle w:val="FootnoteText"/>
        <w:ind w:left="993"/>
      </w:pPr>
      <w:r>
        <w:rPr>
          <w:rFonts w:hint="eastAsia"/>
        </w:rPr>
        <w:t>v. participation in and provision of financial services related to an issuer</w:t>
      </w:r>
      <w:r>
        <w:rPr>
          <w:rFonts w:hint="eastAsia"/>
        </w:rPr>
        <w:t>’</w:t>
      </w:r>
      <w:r>
        <w:rPr>
          <w:rFonts w:hint="eastAsia"/>
        </w:rPr>
        <w:t>s offer and/or sale of a virtual asset.</w:t>
      </w:r>
    </w:p>
  </w:footnote>
  <w:footnote w:id="84">
    <w:p w14:paraId="050E70A0" w14:textId="77777777" w:rsidR="00EC6B4B" w:rsidRDefault="001305B9">
      <w:pPr>
        <w:pStyle w:val="FootnoteText"/>
      </w:pPr>
      <w:r>
        <w:rPr>
          <w:rStyle w:val="FootnoteReference"/>
        </w:rPr>
        <w:footnoteRef/>
      </w:r>
      <w:r>
        <w:t xml:space="preserve"> Interpretive note to Recommendation 15, para. 3, footnote 44.</w:t>
      </w:r>
    </w:p>
  </w:footnote>
  <w:footnote w:id="85">
    <w:p w14:paraId="16035EF4" w14:textId="77777777" w:rsidR="00EC6B4B" w:rsidRDefault="001305B9">
      <w:pPr>
        <w:pStyle w:val="FootnoteText"/>
      </w:pPr>
      <w:r>
        <w:rPr>
          <w:rStyle w:val="FootnoteReference"/>
        </w:rPr>
        <w:footnoteRef/>
      </w:r>
      <w:r>
        <w:t xml:space="preserve"> Updated Guidance for a Risk-based Approach for Virtual Assets and Virtual Asset Service Providers, par. 174.</w:t>
      </w:r>
    </w:p>
  </w:footnote>
  <w:footnote w:id="86">
    <w:p w14:paraId="1A5E6C4B" w14:textId="77777777" w:rsidR="00EC6B4B" w:rsidRDefault="001305B9">
      <w:pPr>
        <w:pStyle w:val="FootnoteText"/>
        <w:rPr>
          <w:lang w:val="en-US"/>
        </w:rPr>
      </w:pPr>
      <w:r>
        <w:rPr>
          <w:rStyle w:val="FootnoteReference"/>
        </w:rPr>
        <w:footnoteRef/>
      </w:r>
      <w:r>
        <w:rPr>
          <w:lang w:val="en-US"/>
        </w:rPr>
        <w:t xml:space="preserve"> Ibid, paragraph. 269, 270.</w:t>
      </w:r>
    </w:p>
  </w:footnote>
  <w:footnote w:id="87">
    <w:p w14:paraId="336D2ED2" w14:textId="77777777" w:rsidR="00EC6B4B" w:rsidRDefault="001305B9">
      <w:pPr>
        <w:pStyle w:val="FootnoteText"/>
        <w:rPr>
          <w:lang w:val="en-US"/>
        </w:rPr>
      </w:pPr>
      <w:r>
        <w:rPr>
          <w:rStyle w:val="FootnoteReference"/>
        </w:rPr>
        <w:footnoteRef/>
      </w:r>
      <w:r>
        <w:rPr>
          <w:lang w:val="en-US"/>
        </w:rPr>
        <w:t xml:space="preserve"> Ibid, par. 289, 292.</w:t>
      </w:r>
    </w:p>
  </w:footnote>
  <w:footnote w:id="88">
    <w:p w14:paraId="7EAA0341" w14:textId="77777777" w:rsidR="00EC6B4B" w:rsidRDefault="001305B9">
      <w:pPr>
        <w:pStyle w:val="FootnoteText"/>
        <w:spacing w:after="0"/>
        <w:rPr>
          <w:lang w:val="en-US"/>
        </w:rPr>
      </w:pPr>
      <w:r>
        <w:rPr>
          <w:rStyle w:val="FootnoteReference"/>
        </w:rPr>
        <w:footnoteRef/>
      </w:r>
      <w:r>
        <w:rPr>
          <w:lang w:val="en-US"/>
        </w:rPr>
        <w:t xml:space="preserve"> Ibid, par. 51.</w:t>
      </w:r>
    </w:p>
  </w:footnote>
  <w:footnote w:id="89">
    <w:p w14:paraId="5B4BD411" w14:textId="77777777" w:rsidR="00EC6B4B" w:rsidRDefault="001305B9">
      <w:pPr>
        <w:spacing w:line="240" w:lineRule="exact"/>
        <w:rPr>
          <w:sz w:val="20"/>
          <w:szCs w:val="20"/>
        </w:rPr>
      </w:pPr>
      <w:r>
        <w:rPr>
          <w:sz w:val="20"/>
          <w:szCs w:val="20"/>
          <w:vertAlign w:val="superscript"/>
        </w:rPr>
        <w:footnoteRef/>
      </w:r>
      <w:r>
        <w:rPr>
          <w:sz w:val="20"/>
          <w:szCs w:val="20"/>
          <w:vertAlign w:val="superscript"/>
        </w:rPr>
        <w:t xml:space="preserve"> </w:t>
      </w:r>
      <w:r>
        <w:rPr>
          <w:sz w:val="18"/>
          <w:szCs w:val="18"/>
        </w:rPr>
        <w:t>Interpretive Note to Recommendation 24, par. 12.</w:t>
      </w:r>
    </w:p>
  </w:footnote>
  <w:footnote w:id="90">
    <w:p w14:paraId="071368F8" w14:textId="77777777" w:rsidR="00EC6B4B" w:rsidRDefault="001305B9">
      <w:pPr>
        <w:pStyle w:val="FootnoteText"/>
        <w:spacing w:after="0"/>
      </w:pPr>
      <w:r>
        <w:rPr>
          <w:rStyle w:val="FootnoteReference"/>
        </w:rPr>
        <w:footnoteRef/>
      </w:r>
      <w:r>
        <w:t xml:space="preserve"> See FATF Guidance on Risk-Based Supervision (2021)</w:t>
      </w:r>
    </w:p>
  </w:footnote>
  <w:footnote w:id="91">
    <w:p w14:paraId="0EAEAEF0" w14:textId="77777777" w:rsidR="00EC6B4B" w:rsidRDefault="001305B9">
      <w:pPr>
        <w:pStyle w:val="FootnoteText"/>
        <w:spacing w:after="0"/>
      </w:pPr>
      <w:r>
        <w:rPr>
          <w:rStyle w:val="FootnoteReference"/>
        </w:rPr>
        <w:footnoteRef/>
      </w:r>
      <w:r>
        <w:t xml:space="preserve"> See FATF Guidance on Risk-based Approach for Legal Professionals (2019), par 48-54 and FATF Guidance on Risk-based Approach for Accountants (2019), par 26-30.</w:t>
      </w:r>
    </w:p>
  </w:footnote>
  <w:footnote w:id="92">
    <w:p w14:paraId="5E79F38B" w14:textId="77777777" w:rsidR="00EC6B4B" w:rsidRDefault="001305B9">
      <w:pPr>
        <w:pStyle w:val="FootnoteText"/>
        <w:spacing w:after="0"/>
      </w:pPr>
      <w:r>
        <w:rPr>
          <w:rStyle w:val="FootnoteReference"/>
        </w:rPr>
        <w:footnoteRef/>
      </w:r>
      <w:r>
        <w:t xml:space="preserve"> See FATF Guidance for a Risk-Based Approach for TCSPs (2019).</w:t>
      </w:r>
    </w:p>
  </w:footnote>
  <w:footnote w:id="93">
    <w:p w14:paraId="07810AD8" w14:textId="77777777" w:rsidR="00EC6B4B" w:rsidRDefault="001305B9">
      <w:pPr>
        <w:pStyle w:val="FootnoteText"/>
        <w:spacing w:after="0"/>
      </w:pPr>
      <w:r>
        <w:rPr>
          <w:rStyle w:val="FootnoteReference"/>
        </w:rPr>
        <w:footnoteRef/>
      </w:r>
      <w:r>
        <w:t xml:space="preserve"> See section 15 on nominees.</w:t>
      </w:r>
    </w:p>
  </w:footnote>
  <w:footnote w:id="94">
    <w:p w14:paraId="7C89B0CB" w14:textId="77777777" w:rsidR="00EC6B4B" w:rsidRDefault="001305B9">
      <w:pPr>
        <w:pStyle w:val="FootnoteText"/>
        <w:spacing w:after="0"/>
      </w:pPr>
      <w:r>
        <w:rPr>
          <w:rStyle w:val="FootnoteReference"/>
        </w:rPr>
        <w:footnoteRef/>
      </w:r>
      <w:r>
        <w:t xml:space="preserve"> This is recognised as an aspect of the fundamental right of access to justice laid down in the Universal Declaration of Human Rights. This right is recognised in the FATF Recommendations which exclude information covered by legal professional privilege or professional secrecy from the obligation to file a suspicious transaction report and provides that it is a matter for each country as to what those terms cover.</w:t>
      </w:r>
    </w:p>
  </w:footnote>
  <w:footnote w:id="95">
    <w:p w14:paraId="49506204" w14:textId="77777777" w:rsidR="00EC6B4B" w:rsidRDefault="001305B9">
      <w:pPr>
        <w:pStyle w:val="FootnoteText"/>
        <w:spacing w:after="0"/>
      </w:pPr>
      <w:r>
        <w:rPr>
          <w:rStyle w:val="FootnoteReference"/>
        </w:rPr>
        <w:footnoteRef/>
      </w:r>
      <w:r>
        <w:t xml:space="preserve"> FATF (2013b).</w:t>
      </w:r>
    </w:p>
  </w:footnote>
  <w:footnote w:id="96">
    <w:p w14:paraId="2BCD207A" w14:textId="77777777" w:rsidR="00EC6B4B" w:rsidRDefault="001305B9">
      <w:pPr>
        <w:pStyle w:val="FootnoteText"/>
        <w:spacing w:after="0"/>
      </w:pPr>
      <w:r>
        <w:rPr>
          <w:rStyle w:val="FootnoteReference"/>
        </w:rPr>
        <w:footnoteRef/>
      </w:r>
      <w:r>
        <w:t xml:space="preserve"> World Bank/UNODC StAR report (2011), p.94.</w:t>
      </w:r>
    </w:p>
  </w:footnote>
  <w:footnote w:id="97">
    <w:p w14:paraId="7763A6CF" w14:textId="77777777" w:rsidR="00EC6B4B" w:rsidRDefault="001305B9">
      <w:pPr>
        <w:pStyle w:val="FootnoteText"/>
        <w:spacing w:after="0"/>
      </w:pPr>
      <w:r>
        <w:rPr>
          <w:rStyle w:val="FootnoteReference"/>
        </w:rPr>
        <w:footnoteRef/>
      </w:r>
      <w:r>
        <w:t xml:space="preserve"> See FATF Guidance for a Risk-based Approach for Legal Professionals (2019).</w:t>
      </w:r>
    </w:p>
  </w:footnote>
  <w:footnote w:id="98">
    <w:p w14:paraId="45033FC5" w14:textId="77777777" w:rsidR="00EC6B4B" w:rsidRDefault="001305B9">
      <w:pPr>
        <w:pStyle w:val="FootnoteText"/>
      </w:pPr>
      <w:r>
        <w:rPr>
          <w:rStyle w:val="FootnoteReference"/>
        </w:rPr>
        <w:footnoteRef/>
      </w:r>
      <w:r>
        <w:t xml:space="preserve"> For instance, tax-related requests should be made in accordance with international tax information agreements between jurisdictions. Therefore, if tax authorities decline to render assistance under appropriate circumstances (e.g. if the conditions under the relevant international agreements that are in line with internationally agreed standards are not met, or if it is allowable to decline to provide such assistance under the internationally agreed standards), they should not be judged as imposing “unduly restrictive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8E1C" w14:textId="5238EFD7" w:rsidR="004E1359" w:rsidRDefault="005D4834" w:rsidP="004E100F">
    <w:pPr>
      <w:pStyle w:val="Header"/>
    </w:pPr>
    <w:sdt>
      <w:sdtPr>
        <w:rPr>
          <w:rStyle w:val="PageNumber"/>
        </w:rPr>
        <w:alias w:val="Page Number"/>
        <w:tag w:val="TxtPageNumber"/>
        <w:id w:val="-1835755985"/>
        <w:lock w:val="sdtLocked"/>
      </w:sdtPr>
      <w:sdtEndPr>
        <w:rPr>
          <w:rStyle w:val="DefaultParagraphFont"/>
          <w:rFonts w:ascii="Times New Roman" w:hAnsi="Times New Roman"/>
          <w:b w:val="0"/>
        </w:rPr>
      </w:sdtEndPr>
      <w:sdtContent>
        <w:r w:rsidR="004E1359" w:rsidRPr="00CC3749">
          <w:rPr>
            <w:rStyle w:val="PageNumber"/>
          </w:rPr>
          <w:fldChar w:fldCharType="begin"/>
        </w:r>
        <w:r w:rsidR="004E1359" w:rsidRPr="00CC3749">
          <w:rPr>
            <w:rStyle w:val="PageNumber"/>
          </w:rPr>
          <w:instrText xml:space="preserve"> PAGE   \* MERGEFORMAT </w:instrText>
        </w:r>
        <w:r w:rsidR="004E1359" w:rsidRPr="00CC3749">
          <w:rPr>
            <w:rStyle w:val="PageNumber"/>
          </w:rPr>
          <w:fldChar w:fldCharType="separate"/>
        </w:r>
        <w:r>
          <w:rPr>
            <w:rStyle w:val="PageNumber"/>
            <w:noProof/>
          </w:rPr>
          <w:t>4</w:t>
        </w:r>
        <w:r w:rsidR="004E1359" w:rsidRPr="00CC3749">
          <w:rPr>
            <w:rStyle w:val="PageNumber"/>
            <w:noProof/>
          </w:rPr>
          <w:fldChar w:fldCharType="end"/>
        </w:r>
      </w:sdtContent>
    </w:sdt>
    <w:r w:rsidR="004E1359">
      <w:t xml:space="preserve"> </w:t>
    </w:r>
    <w:r w:rsidR="004E1359">
      <w:sym w:font="Symbol" w:char="F07C"/>
    </w:r>
    <w:r w:rsidR="004E1359">
      <w:t xml:space="preserve"> </w:t>
    </w:r>
    <w:sdt>
      <w:sdtPr>
        <w:rPr>
          <w:rStyle w:val="HeaderTitle"/>
        </w:rPr>
        <w:alias w:val="Cote/Chapter"/>
        <w:tag w:val="txtHeaderValue"/>
        <w:id w:val="-308635562"/>
        <w:lock w:val="sdtLocked"/>
        <w:showingPlcHdr/>
      </w:sdtPr>
      <w:sdtEndPr>
        <w:rPr>
          <w:rStyle w:val="DefaultParagraphFont"/>
          <w:rFonts w:ascii="Times New Roman" w:hAnsi="Times New Roman"/>
          <w:caps w:val="0"/>
          <w:sz w:val="22"/>
        </w:rPr>
      </w:sdtEndPr>
      <w:sdtContent>
        <w:r w:rsidR="002454B1">
          <w:rPr>
            <w:rStyle w:val="HeaderTitle"/>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833B" w14:textId="15C3AC7E" w:rsidR="004E1359" w:rsidRDefault="005D4834" w:rsidP="004E100F">
    <w:pPr>
      <w:pStyle w:val="Header"/>
      <w:jc w:val="right"/>
    </w:pPr>
    <w:sdt>
      <w:sdtPr>
        <w:rPr>
          <w:rStyle w:val="HeaderTitle"/>
        </w:rPr>
        <w:alias w:val="Cote/Chapter"/>
        <w:tag w:val="txtHeaderValue"/>
        <w:id w:val="-244348000"/>
        <w:lock w:val="sdtLocked"/>
        <w:showingPlcHdr/>
      </w:sdtPr>
      <w:sdtEndPr>
        <w:rPr>
          <w:rStyle w:val="DefaultParagraphFont"/>
          <w:rFonts w:ascii="Times New Roman" w:hAnsi="Times New Roman"/>
          <w:caps w:val="0"/>
          <w:sz w:val="22"/>
        </w:rPr>
      </w:sdtEndPr>
      <w:sdtContent>
        <w:r w:rsidR="002454B1">
          <w:rPr>
            <w:rStyle w:val="HeaderTitle"/>
          </w:rPr>
          <w:t xml:space="preserve">     </w:t>
        </w:r>
      </w:sdtContent>
    </w:sdt>
    <w:r w:rsidR="004E1359">
      <w:rPr>
        <w:rStyle w:val="PageNumber"/>
      </w:rPr>
      <w:t xml:space="preserve"> </w:t>
    </w:r>
    <w:r w:rsidR="004E1359">
      <w:rPr>
        <w:rStyle w:val="PageNumber"/>
      </w:rPr>
      <w:sym w:font="Symbol" w:char="F07C"/>
    </w:r>
    <w:r w:rsidR="004E1359">
      <w:rPr>
        <w:rStyle w:val="PageNumber"/>
      </w:rPr>
      <w:t xml:space="preserve"> </w:t>
    </w:r>
    <w:sdt>
      <w:sdtPr>
        <w:rPr>
          <w:rStyle w:val="PageNumber"/>
        </w:rPr>
        <w:alias w:val="Page Number"/>
        <w:tag w:val="TxtPageNumber"/>
        <w:id w:val="1076251128"/>
        <w:lock w:val="sdtLocked"/>
      </w:sdtPr>
      <w:sdtEndPr>
        <w:rPr>
          <w:rStyle w:val="DefaultParagraphFont"/>
          <w:rFonts w:ascii="Times New Roman" w:hAnsi="Times New Roman"/>
          <w:b w:val="0"/>
        </w:rPr>
      </w:sdtEndPr>
      <w:sdtContent>
        <w:r w:rsidR="004E1359" w:rsidRPr="00CC3749">
          <w:rPr>
            <w:rStyle w:val="PageNumber"/>
          </w:rPr>
          <w:fldChar w:fldCharType="begin"/>
        </w:r>
        <w:r w:rsidR="004E1359" w:rsidRPr="00CC3749">
          <w:rPr>
            <w:rStyle w:val="PageNumber"/>
          </w:rPr>
          <w:instrText xml:space="preserve"> PAGE   \* MERGEFORMAT </w:instrText>
        </w:r>
        <w:r w:rsidR="004E1359" w:rsidRPr="00CC3749">
          <w:rPr>
            <w:rStyle w:val="PageNumber"/>
          </w:rPr>
          <w:fldChar w:fldCharType="separate"/>
        </w:r>
        <w:r>
          <w:rPr>
            <w:rStyle w:val="PageNumber"/>
            <w:noProof/>
          </w:rPr>
          <w:t>1</w:t>
        </w:r>
        <w:r w:rsidR="004E1359" w:rsidRPr="00CC3749">
          <w:rPr>
            <w:rStyle w:val="PageNumbe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7EEA"/>
    <w:multiLevelType w:val="hybridMultilevel"/>
    <w:tmpl w:val="58E0F3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27D31"/>
    <w:multiLevelType w:val="hybridMultilevel"/>
    <w:tmpl w:val="1CFA1284"/>
    <w:lvl w:ilvl="0" w:tplc="FFFFFFFF">
      <w:start w:val="1"/>
      <w:numFmt w:val="lowerRoman"/>
      <w:lvlText w:val="%1."/>
      <w:lvlJc w:val="right"/>
      <w:pPr>
        <w:ind w:left="1182" w:hanging="408"/>
      </w:pPr>
      <w:rPr>
        <w:rFonts w:hint="default"/>
        <w:b w:val="0"/>
        <w:bCs w:val="0"/>
        <w:i w:val="0"/>
        <w:iCs w:val="0"/>
        <w:color w:val="auto"/>
        <w:w w:val="99"/>
        <w:sz w:val="20"/>
        <w:szCs w:val="20"/>
      </w:rPr>
    </w:lvl>
    <w:lvl w:ilvl="1" w:tplc="FFFFFFFF" w:tentative="1">
      <w:start w:val="1"/>
      <w:numFmt w:val="lowerLetter"/>
      <w:lvlText w:val="%2."/>
      <w:lvlJc w:val="left"/>
      <w:pPr>
        <w:ind w:left="-991" w:hanging="360"/>
      </w:pPr>
    </w:lvl>
    <w:lvl w:ilvl="2" w:tplc="FFFFFFFF" w:tentative="1">
      <w:start w:val="1"/>
      <w:numFmt w:val="lowerRoman"/>
      <w:lvlText w:val="%3."/>
      <w:lvlJc w:val="right"/>
      <w:pPr>
        <w:ind w:left="-271" w:hanging="180"/>
      </w:pPr>
    </w:lvl>
    <w:lvl w:ilvl="3" w:tplc="FFFFFFFF" w:tentative="1">
      <w:start w:val="1"/>
      <w:numFmt w:val="decimal"/>
      <w:lvlText w:val="%4."/>
      <w:lvlJc w:val="left"/>
      <w:pPr>
        <w:ind w:left="449" w:hanging="360"/>
      </w:pPr>
    </w:lvl>
    <w:lvl w:ilvl="4" w:tplc="FFFFFFFF" w:tentative="1">
      <w:start w:val="1"/>
      <w:numFmt w:val="lowerLetter"/>
      <w:lvlText w:val="%5."/>
      <w:lvlJc w:val="left"/>
      <w:pPr>
        <w:ind w:left="1169" w:hanging="360"/>
      </w:pPr>
    </w:lvl>
    <w:lvl w:ilvl="5" w:tplc="FFFFFFFF" w:tentative="1">
      <w:start w:val="1"/>
      <w:numFmt w:val="lowerRoman"/>
      <w:lvlText w:val="%6."/>
      <w:lvlJc w:val="right"/>
      <w:pPr>
        <w:ind w:left="1889" w:hanging="180"/>
      </w:pPr>
    </w:lvl>
    <w:lvl w:ilvl="6" w:tplc="FFFFFFFF" w:tentative="1">
      <w:start w:val="1"/>
      <w:numFmt w:val="decimal"/>
      <w:lvlText w:val="%7."/>
      <w:lvlJc w:val="left"/>
      <w:pPr>
        <w:ind w:left="2609" w:hanging="360"/>
      </w:pPr>
    </w:lvl>
    <w:lvl w:ilvl="7" w:tplc="FFFFFFFF" w:tentative="1">
      <w:start w:val="1"/>
      <w:numFmt w:val="lowerLetter"/>
      <w:lvlText w:val="%8."/>
      <w:lvlJc w:val="left"/>
      <w:pPr>
        <w:ind w:left="3329" w:hanging="360"/>
      </w:pPr>
    </w:lvl>
    <w:lvl w:ilvl="8" w:tplc="FFFFFFFF" w:tentative="1">
      <w:start w:val="1"/>
      <w:numFmt w:val="lowerRoman"/>
      <w:lvlText w:val="%9."/>
      <w:lvlJc w:val="right"/>
      <w:pPr>
        <w:ind w:left="4049" w:hanging="180"/>
      </w:pPr>
    </w:lvl>
  </w:abstractNum>
  <w:abstractNum w:abstractNumId="2"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6E7721E"/>
    <w:multiLevelType w:val="hybridMultilevel"/>
    <w:tmpl w:val="1CFA1284"/>
    <w:lvl w:ilvl="0" w:tplc="FFFFFFFF">
      <w:start w:val="1"/>
      <w:numFmt w:val="lowerRoman"/>
      <w:lvlText w:val="%1."/>
      <w:lvlJc w:val="right"/>
      <w:pPr>
        <w:ind w:left="1182" w:hanging="408"/>
      </w:pPr>
      <w:rPr>
        <w:rFonts w:hint="default"/>
        <w:b w:val="0"/>
        <w:bCs w:val="0"/>
        <w:i w:val="0"/>
        <w:iCs w:val="0"/>
        <w:color w:val="auto"/>
        <w:w w:val="99"/>
        <w:sz w:val="20"/>
        <w:szCs w:val="20"/>
      </w:rPr>
    </w:lvl>
    <w:lvl w:ilvl="1" w:tplc="FFFFFFFF" w:tentative="1">
      <w:start w:val="1"/>
      <w:numFmt w:val="lowerLetter"/>
      <w:lvlText w:val="%2."/>
      <w:lvlJc w:val="left"/>
      <w:pPr>
        <w:ind w:left="-991" w:hanging="360"/>
      </w:pPr>
    </w:lvl>
    <w:lvl w:ilvl="2" w:tplc="FFFFFFFF" w:tentative="1">
      <w:start w:val="1"/>
      <w:numFmt w:val="lowerRoman"/>
      <w:lvlText w:val="%3."/>
      <w:lvlJc w:val="right"/>
      <w:pPr>
        <w:ind w:left="-271" w:hanging="180"/>
      </w:pPr>
    </w:lvl>
    <w:lvl w:ilvl="3" w:tplc="FFFFFFFF" w:tentative="1">
      <w:start w:val="1"/>
      <w:numFmt w:val="decimal"/>
      <w:lvlText w:val="%4."/>
      <w:lvlJc w:val="left"/>
      <w:pPr>
        <w:ind w:left="449" w:hanging="360"/>
      </w:pPr>
    </w:lvl>
    <w:lvl w:ilvl="4" w:tplc="FFFFFFFF" w:tentative="1">
      <w:start w:val="1"/>
      <w:numFmt w:val="lowerLetter"/>
      <w:lvlText w:val="%5."/>
      <w:lvlJc w:val="left"/>
      <w:pPr>
        <w:ind w:left="1169" w:hanging="360"/>
      </w:pPr>
    </w:lvl>
    <w:lvl w:ilvl="5" w:tplc="FFFFFFFF" w:tentative="1">
      <w:start w:val="1"/>
      <w:numFmt w:val="lowerRoman"/>
      <w:lvlText w:val="%6."/>
      <w:lvlJc w:val="right"/>
      <w:pPr>
        <w:ind w:left="1889" w:hanging="180"/>
      </w:pPr>
    </w:lvl>
    <w:lvl w:ilvl="6" w:tplc="FFFFFFFF" w:tentative="1">
      <w:start w:val="1"/>
      <w:numFmt w:val="decimal"/>
      <w:lvlText w:val="%7."/>
      <w:lvlJc w:val="left"/>
      <w:pPr>
        <w:ind w:left="2609" w:hanging="360"/>
      </w:pPr>
    </w:lvl>
    <w:lvl w:ilvl="7" w:tplc="FFFFFFFF" w:tentative="1">
      <w:start w:val="1"/>
      <w:numFmt w:val="lowerLetter"/>
      <w:lvlText w:val="%8."/>
      <w:lvlJc w:val="left"/>
      <w:pPr>
        <w:ind w:left="3329" w:hanging="360"/>
      </w:pPr>
    </w:lvl>
    <w:lvl w:ilvl="8" w:tplc="FFFFFFFF" w:tentative="1">
      <w:start w:val="1"/>
      <w:numFmt w:val="lowerRoman"/>
      <w:lvlText w:val="%9."/>
      <w:lvlJc w:val="right"/>
      <w:pPr>
        <w:ind w:left="4049" w:hanging="180"/>
      </w:pPr>
    </w:lvl>
  </w:abstractNum>
  <w:abstractNum w:abstractNumId="4" w15:restartNumberingAfterBreak="0">
    <w:nsid w:val="08903D5E"/>
    <w:multiLevelType w:val="multilevel"/>
    <w:tmpl w:val="5D24BC4E"/>
    <w:numStyleLink w:val="ATUnsortierteListe"/>
  </w:abstractNum>
  <w:abstractNum w:abstractNumId="5" w15:restartNumberingAfterBreak="0">
    <w:nsid w:val="0A2973C5"/>
    <w:multiLevelType w:val="hybridMultilevel"/>
    <w:tmpl w:val="5114F6C4"/>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6" w15:restartNumberingAfterBreak="0">
    <w:nsid w:val="0ADA0640"/>
    <w:multiLevelType w:val="hybridMultilevel"/>
    <w:tmpl w:val="03A405DE"/>
    <w:lvl w:ilvl="0" w:tplc="D7206700">
      <w:start w:val="1"/>
      <w:numFmt w:val="lowerRoman"/>
      <w:lvlText w:val="%1)"/>
      <w:lvlJc w:val="left"/>
      <w:pPr>
        <w:ind w:left="1345" w:hanging="360"/>
      </w:pPr>
      <w:rPr>
        <w:rFonts w:hint="default"/>
      </w:r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7" w15:restartNumberingAfterBreak="0">
    <w:nsid w:val="0B863E69"/>
    <w:multiLevelType w:val="hybridMultilevel"/>
    <w:tmpl w:val="03A405DE"/>
    <w:lvl w:ilvl="0" w:tplc="FFFFFFFF">
      <w:start w:val="1"/>
      <w:numFmt w:val="lowerRoman"/>
      <w:lvlText w:val="%1)"/>
      <w:lvlJc w:val="left"/>
      <w:pPr>
        <w:ind w:left="1345" w:hanging="360"/>
      </w:pPr>
      <w:rPr>
        <w:rFonts w:hint="default"/>
      </w:rPr>
    </w:lvl>
    <w:lvl w:ilvl="1" w:tplc="FFFFFFFF" w:tentative="1">
      <w:start w:val="1"/>
      <w:numFmt w:val="lowerLetter"/>
      <w:lvlText w:val="%2."/>
      <w:lvlJc w:val="left"/>
      <w:pPr>
        <w:ind w:left="2065" w:hanging="360"/>
      </w:pPr>
    </w:lvl>
    <w:lvl w:ilvl="2" w:tplc="FFFFFFFF" w:tentative="1">
      <w:start w:val="1"/>
      <w:numFmt w:val="lowerRoman"/>
      <w:lvlText w:val="%3."/>
      <w:lvlJc w:val="right"/>
      <w:pPr>
        <w:ind w:left="2785" w:hanging="180"/>
      </w:pPr>
    </w:lvl>
    <w:lvl w:ilvl="3" w:tplc="FFFFFFFF" w:tentative="1">
      <w:start w:val="1"/>
      <w:numFmt w:val="decimal"/>
      <w:lvlText w:val="%4."/>
      <w:lvlJc w:val="left"/>
      <w:pPr>
        <w:ind w:left="3505" w:hanging="360"/>
      </w:pPr>
    </w:lvl>
    <w:lvl w:ilvl="4" w:tplc="FFFFFFFF" w:tentative="1">
      <w:start w:val="1"/>
      <w:numFmt w:val="lowerLetter"/>
      <w:lvlText w:val="%5."/>
      <w:lvlJc w:val="left"/>
      <w:pPr>
        <w:ind w:left="4225" w:hanging="360"/>
      </w:pPr>
    </w:lvl>
    <w:lvl w:ilvl="5" w:tplc="FFFFFFFF" w:tentative="1">
      <w:start w:val="1"/>
      <w:numFmt w:val="lowerRoman"/>
      <w:lvlText w:val="%6."/>
      <w:lvlJc w:val="right"/>
      <w:pPr>
        <w:ind w:left="4945" w:hanging="180"/>
      </w:pPr>
    </w:lvl>
    <w:lvl w:ilvl="6" w:tplc="FFFFFFFF" w:tentative="1">
      <w:start w:val="1"/>
      <w:numFmt w:val="decimal"/>
      <w:lvlText w:val="%7."/>
      <w:lvlJc w:val="left"/>
      <w:pPr>
        <w:ind w:left="5665" w:hanging="360"/>
      </w:pPr>
    </w:lvl>
    <w:lvl w:ilvl="7" w:tplc="FFFFFFFF" w:tentative="1">
      <w:start w:val="1"/>
      <w:numFmt w:val="lowerLetter"/>
      <w:lvlText w:val="%8."/>
      <w:lvlJc w:val="left"/>
      <w:pPr>
        <w:ind w:left="6385" w:hanging="360"/>
      </w:pPr>
    </w:lvl>
    <w:lvl w:ilvl="8" w:tplc="FFFFFFFF" w:tentative="1">
      <w:start w:val="1"/>
      <w:numFmt w:val="lowerRoman"/>
      <w:lvlText w:val="%9."/>
      <w:lvlJc w:val="right"/>
      <w:pPr>
        <w:ind w:left="7105" w:hanging="180"/>
      </w:pPr>
    </w:lvl>
  </w:abstractNum>
  <w:abstractNum w:abstractNumId="8" w15:restartNumberingAfterBreak="0">
    <w:nsid w:val="0C640B47"/>
    <w:multiLevelType w:val="multilevel"/>
    <w:tmpl w:val="655C1A68"/>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9" w15:restartNumberingAfterBreak="0">
    <w:nsid w:val="0D425E4D"/>
    <w:multiLevelType w:val="hybridMultilevel"/>
    <w:tmpl w:val="03A405DE"/>
    <w:lvl w:ilvl="0" w:tplc="FFFFFFFF">
      <w:start w:val="1"/>
      <w:numFmt w:val="lowerRoman"/>
      <w:lvlText w:val="%1)"/>
      <w:lvlJc w:val="left"/>
      <w:pPr>
        <w:ind w:left="1345" w:hanging="360"/>
      </w:pPr>
      <w:rPr>
        <w:rFonts w:hint="default"/>
      </w:rPr>
    </w:lvl>
    <w:lvl w:ilvl="1" w:tplc="FFFFFFFF" w:tentative="1">
      <w:start w:val="1"/>
      <w:numFmt w:val="lowerLetter"/>
      <w:lvlText w:val="%2."/>
      <w:lvlJc w:val="left"/>
      <w:pPr>
        <w:ind w:left="2065" w:hanging="360"/>
      </w:pPr>
    </w:lvl>
    <w:lvl w:ilvl="2" w:tplc="FFFFFFFF" w:tentative="1">
      <w:start w:val="1"/>
      <w:numFmt w:val="lowerRoman"/>
      <w:lvlText w:val="%3."/>
      <w:lvlJc w:val="right"/>
      <w:pPr>
        <w:ind w:left="2785" w:hanging="180"/>
      </w:pPr>
    </w:lvl>
    <w:lvl w:ilvl="3" w:tplc="FFFFFFFF" w:tentative="1">
      <w:start w:val="1"/>
      <w:numFmt w:val="decimal"/>
      <w:lvlText w:val="%4."/>
      <w:lvlJc w:val="left"/>
      <w:pPr>
        <w:ind w:left="3505" w:hanging="360"/>
      </w:pPr>
    </w:lvl>
    <w:lvl w:ilvl="4" w:tplc="FFFFFFFF" w:tentative="1">
      <w:start w:val="1"/>
      <w:numFmt w:val="lowerLetter"/>
      <w:lvlText w:val="%5."/>
      <w:lvlJc w:val="left"/>
      <w:pPr>
        <w:ind w:left="4225" w:hanging="360"/>
      </w:pPr>
    </w:lvl>
    <w:lvl w:ilvl="5" w:tplc="FFFFFFFF" w:tentative="1">
      <w:start w:val="1"/>
      <w:numFmt w:val="lowerRoman"/>
      <w:lvlText w:val="%6."/>
      <w:lvlJc w:val="right"/>
      <w:pPr>
        <w:ind w:left="4945" w:hanging="180"/>
      </w:pPr>
    </w:lvl>
    <w:lvl w:ilvl="6" w:tplc="FFFFFFFF" w:tentative="1">
      <w:start w:val="1"/>
      <w:numFmt w:val="decimal"/>
      <w:lvlText w:val="%7."/>
      <w:lvlJc w:val="left"/>
      <w:pPr>
        <w:ind w:left="5665" w:hanging="360"/>
      </w:pPr>
    </w:lvl>
    <w:lvl w:ilvl="7" w:tplc="FFFFFFFF" w:tentative="1">
      <w:start w:val="1"/>
      <w:numFmt w:val="lowerLetter"/>
      <w:lvlText w:val="%8."/>
      <w:lvlJc w:val="left"/>
      <w:pPr>
        <w:ind w:left="6385" w:hanging="360"/>
      </w:pPr>
    </w:lvl>
    <w:lvl w:ilvl="8" w:tplc="FFFFFFFF" w:tentative="1">
      <w:start w:val="1"/>
      <w:numFmt w:val="lowerRoman"/>
      <w:lvlText w:val="%9."/>
      <w:lvlJc w:val="right"/>
      <w:pPr>
        <w:ind w:left="7105" w:hanging="180"/>
      </w:pPr>
    </w:lvl>
  </w:abstractNum>
  <w:abstractNum w:abstractNumId="10" w15:restartNumberingAfterBreak="0">
    <w:nsid w:val="0F333ED8"/>
    <w:multiLevelType w:val="hybridMultilevel"/>
    <w:tmpl w:val="58E0F3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005858"/>
    <w:multiLevelType w:val="multilevel"/>
    <w:tmpl w:val="655C1A68"/>
    <w:numStyleLink w:val="ATGliederungsliste"/>
  </w:abstractNum>
  <w:abstractNum w:abstractNumId="12" w15:restartNumberingAfterBreak="0">
    <w:nsid w:val="117D2689"/>
    <w:multiLevelType w:val="hybridMultilevel"/>
    <w:tmpl w:val="14A42AB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F0751"/>
    <w:multiLevelType w:val="hybridMultilevel"/>
    <w:tmpl w:val="CCBAAC30"/>
    <w:lvl w:ilvl="0" w:tplc="6DA6E4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2C39D7"/>
    <w:multiLevelType w:val="hybridMultilevel"/>
    <w:tmpl w:val="71F65228"/>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5" w15:restartNumberingAfterBreak="0">
    <w:nsid w:val="16E4549A"/>
    <w:multiLevelType w:val="hybridMultilevel"/>
    <w:tmpl w:val="58E0F3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7"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8" w15:restartNumberingAfterBreak="0">
    <w:nsid w:val="17AC6696"/>
    <w:multiLevelType w:val="multilevel"/>
    <w:tmpl w:val="B8ECDD18"/>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9"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924D42"/>
    <w:multiLevelType w:val="singleLevel"/>
    <w:tmpl w:val="00BA39CE"/>
    <w:lvl w:ilvl="0">
      <w:start w:val="1"/>
      <w:numFmt w:val="decimal"/>
      <w:pStyle w:val="Para"/>
      <w:lvlText w:val="%1."/>
      <w:lvlJc w:val="left"/>
      <w:pPr>
        <w:tabs>
          <w:tab w:val="num" w:pos="680"/>
        </w:tabs>
        <w:ind w:left="680" w:firstLine="0"/>
      </w:pPr>
      <w:rPr>
        <w:rFonts w:asciiTheme="majorHAnsi" w:hAnsiTheme="majorHAnsi" w:cstheme="majorHAnsi" w:hint="default"/>
        <w:b w:val="0"/>
        <w:i w:val="0"/>
        <w:color w:val="auto"/>
        <w:sz w:val="22"/>
      </w:rPr>
    </w:lvl>
  </w:abstractNum>
  <w:abstractNum w:abstractNumId="21" w15:restartNumberingAfterBreak="0">
    <w:nsid w:val="18C20564"/>
    <w:multiLevelType w:val="hybridMultilevel"/>
    <w:tmpl w:val="04A47908"/>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94100F5"/>
    <w:multiLevelType w:val="hybridMultilevel"/>
    <w:tmpl w:val="AC164A3C"/>
    <w:lvl w:ilvl="0" w:tplc="6DA6E44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C84D99"/>
    <w:multiLevelType w:val="hybridMultilevel"/>
    <w:tmpl w:val="762CE3F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A2C4EF0"/>
    <w:multiLevelType w:val="hybridMultilevel"/>
    <w:tmpl w:val="3A08B824"/>
    <w:lvl w:ilvl="0" w:tplc="CD7227C6">
      <w:start w:val="1"/>
      <w:numFmt w:val="lowerRoman"/>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B747C5"/>
    <w:multiLevelType w:val="hybridMultilevel"/>
    <w:tmpl w:val="42E4AC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7A507F"/>
    <w:multiLevelType w:val="hybridMultilevel"/>
    <w:tmpl w:val="2E6C7176"/>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4FC1975"/>
    <w:multiLevelType w:val="hybridMultilevel"/>
    <w:tmpl w:val="0A1C45C2"/>
    <w:lvl w:ilvl="0" w:tplc="311A43F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8" w15:restartNumberingAfterBreak="0">
    <w:nsid w:val="25044736"/>
    <w:multiLevelType w:val="hybridMultilevel"/>
    <w:tmpl w:val="5B22C492"/>
    <w:lvl w:ilvl="0" w:tplc="AF24957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9F0942"/>
    <w:multiLevelType w:val="hybridMultilevel"/>
    <w:tmpl w:val="B4324F80"/>
    <w:styleLink w:val="ImportedStyle40"/>
    <w:lvl w:ilvl="0" w:tplc="341EF3DC">
      <w:start w:val="1"/>
      <w:numFmt w:val="bullet"/>
      <w:lvlText w:val="■"/>
      <w:lvlJc w:val="left"/>
      <w:pPr>
        <w:tabs>
          <w:tab w:val="left" w:pos="2477"/>
        </w:tabs>
        <w:ind w:left="374"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D9960DC4">
      <w:start w:val="1"/>
      <w:numFmt w:val="bullet"/>
      <w:lvlText w:val="■"/>
      <w:lvlJc w:val="left"/>
      <w:pPr>
        <w:tabs>
          <w:tab w:val="left" w:pos="2477"/>
        </w:tabs>
        <w:ind w:left="2476" w:hanging="409"/>
      </w:pPr>
      <w:rPr>
        <w:rFonts w:ascii="Arial Unicode MS" w:eastAsia="Arial Unicode MS" w:hAnsi="Arial Unicode MS" w:cs="Arial Unicode MS"/>
        <w:b w:val="0"/>
        <w:bCs w:val="0"/>
        <w:i w:val="0"/>
        <w:iCs w:val="0"/>
        <w:caps w:val="0"/>
        <w:smallCaps w:val="0"/>
        <w:strike w:val="0"/>
        <w:dstrike w:val="0"/>
        <w:outline w:val="0"/>
        <w:emboss w:val="0"/>
        <w:imprint w:val="0"/>
        <w:color w:val="348092"/>
        <w:spacing w:val="0"/>
        <w:w w:val="100"/>
        <w:kern w:val="0"/>
        <w:position w:val="0"/>
        <w:sz w:val="20"/>
        <w:szCs w:val="20"/>
        <w:highlight w:val="none"/>
        <w:vertAlign w:val="baseline"/>
      </w:rPr>
    </w:lvl>
    <w:lvl w:ilvl="2" w:tplc="9454FF0C">
      <w:start w:val="1"/>
      <w:numFmt w:val="bullet"/>
      <w:lvlText w:val="•"/>
      <w:lvlJc w:val="left"/>
      <w:pPr>
        <w:ind w:left="2477" w:hanging="406"/>
      </w:pPr>
      <w:rPr>
        <w:rFonts w:ascii="Arial Unicode MS" w:eastAsia="Arial Unicode MS" w:hAnsi="Arial Unicode MS" w:cs="Arial Unicode MS"/>
        <w:b w:val="0"/>
        <w:bCs w:val="0"/>
        <w:i w:val="0"/>
        <w:iCs w:val="0"/>
        <w:caps w:val="0"/>
        <w:smallCaps w:val="0"/>
        <w:strike w:val="0"/>
        <w:dstrike w:val="0"/>
        <w:outline w:val="0"/>
        <w:emboss w:val="0"/>
        <w:imprint w:val="0"/>
        <w:color w:val="348092"/>
        <w:spacing w:val="0"/>
        <w:w w:val="100"/>
        <w:kern w:val="0"/>
        <w:position w:val="0"/>
        <w:highlight w:val="none"/>
        <w:vertAlign w:val="baseline"/>
      </w:rPr>
    </w:lvl>
    <w:lvl w:ilvl="3" w:tplc="F4AC1496">
      <w:start w:val="1"/>
      <w:numFmt w:val="bullet"/>
      <w:lvlText w:val="•"/>
      <w:lvlJc w:val="left"/>
      <w:pPr>
        <w:tabs>
          <w:tab w:val="left" w:pos="2477"/>
        </w:tabs>
        <w:ind w:left="3400" w:hanging="409"/>
      </w:pPr>
      <w:rPr>
        <w:rFonts w:ascii="Arial Unicode MS" w:eastAsia="Arial Unicode MS" w:hAnsi="Arial Unicode MS" w:cs="Arial Unicode MS"/>
        <w:b w:val="0"/>
        <w:bCs w:val="0"/>
        <w:i w:val="0"/>
        <w:iCs w:val="0"/>
        <w:caps w:val="0"/>
        <w:smallCaps w:val="0"/>
        <w:strike w:val="0"/>
        <w:dstrike w:val="0"/>
        <w:outline w:val="0"/>
        <w:emboss w:val="0"/>
        <w:imprint w:val="0"/>
        <w:color w:val="348092"/>
        <w:spacing w:val="0"/>
        <w:w w:val="100"/>
        <w:kern w:val="0"/>
        <w:position w:val="0"/>
        <w:highlight w:val="none"/>
        <w:vertAlign w:val="baseline"/>
      </w:rPr>
    </w:lvl>
    <w:lvl w:ilvl="4" w:tplc="38A6A83A">
      <w:start w:val="1"/>
      <w:numFmt w:val="bullet"/>
      <w:lvlText w:val="•"/>
      <w:lvlJc w:val="left"/>
      <w:pPr>
        <w:tabs>
          <w:tab w:val="left" w:pos="2477"/>
        </w:tabs>
        <w:ind w:left="4321" w:hanging="409"/>
      </w:pPr>
      <w:rPr>
        <w:rFonts w:ascii="Arial Unicode MS" w:eastAsia="Arial Unicode MS" w:hAnsi="Arial Unicode MS" w:cs="Arial Unicode MS"/>
        <w:b w:val="0"/>
        <w:bCs w:val="0"/>
        <w:i w:val="0"/>
        <w:iCs w:val="0"/>
        <w:caps w:val="0"/>
        <w:smallCaps w:val="0"/>
        <w:strike w:val="0"/>
        <w:dstrike w:val="0"/>
        <w:outline w:val="0"/>
        <w:emboss w:val="0"/>
        <w:imprint w:val="0"/>
        <w:color w:val="348092"/>
        <w:spacing w:val="0"/>
        <w:w w:val="100"/>
        <w:kern w:val="0"/>
        <w:position w:val="0"/>
        <w:highlight w:val="none"/>
        <w:vertAlign w:val="baseline"/>
      </w:rPr>
    </w:lvl>
    <w:lvl w:ilvl="5" w:tplc="35845726">
      <w:start w:val="1"/>
      <w:numFmt w:val="bullet"/>
      <w:lvlText w:val="•"/>
      <w:lvlJc w:val="left"/>
      <w:pPr>
        <w:tabs>
          <w:tab w:val="left" w:pos="2477"/>
        </w:tabs>
        <w:ind w:left="5242" w:hanging="409"/>
      </w:pPr>
      <w:rPr>
        <w:rFonts w:ascii="Arial Unicode MS" w:eastAsia="Arial Unicode MS" w:hAnsi="Arial Unicode MS" w:cs="Arial Unicode MS"/>
        <w:b w:val="0"/>
        <w:bCs w:val="0"/>
        <w:i w:val="0"/>
        <w:iCs w:val="0"/>
        <w:caps w:val="0"/>
        <w:smallCaps w:val="0"/>
        <w:strike w:val="0"/>
        <w:dstrike w:val="0"/>
        <w:outline w:val="0"/>
        <w:emboss w:val="0"/>
        <w:imprint w:val="0"/>
        <w:color w:val="348092"/>
        <w:spacing w:val="0"/>
        <w:w w:val="100"/>
        <w:kern w:val="0"/>
        <w:position w:val="0"/>
        <w:highlight w:val="none"/>
        <w:vertAlign w:val="baseline"/>
      </w:rPr>
    </w:lvl>
    <w:lvl w:ilvl="6" w:tplc="B94AF87E">
      <w:start w:val="1"/>
      <w:numFmt w:val="bullet"/>
      <w:lvlText w:val="•"/>
      <w:lvlJc w:val="left"/>
      <w:pPr>
        <w:tabs>
          <w:tab w:val="left" w:pos="2477"/>
        </w:tabs>
        <w:ind w:left="6163" w:hanging="409"/>
      </w:pPr>
      <w:rPr>
        <w:rFonts w:ascii="Arial Unicode MS" w:eastAsia="Arial Unicode MS" w:hAnsi="Arial Unicode MS" w:cs="Arial Unicode MS"/>
        <w:b w:val="0"/>
        <w:bCs w:val="0"/>
        <w:i w:val="0"/>
        <w:iCs w:val="0"/>
        <w:caps w:val="0"/>
        <w:smallCaps w:val="0"/>
        <w:strike w:val="0"/>
        <w:dstrike w:val="0"/>
        <w:outline w:val="0"/>
        <w:emboss w:val="0"/>
        <w:imprint w:val="0"/>
        <w:color w:val="348092"/>
        <w:spacing w:val="0"/>
        <w:w w:val="100"/>
        <w:kern w:val="0"/>
        <w:position w:val="0"/>
        <w:highlight w:val="none"/>
        <w:vertAlign w:val="baseline"/>
      </w:rPr>
    </w:lvl>
    <w:lvl w:ilvl="7" w:tplc="A648AA68">
      <w:start w:val="1"/>
      <w:numFmt w:val="bullet"/>
      <w:lvlText w:val="•"/>
      <w:lvlJc w:val="left"/>
      <w:pPr>
        <w:tabs>
          <w:tab w:val="left" w:pos="2477"/>
        </w:tabs>
        <w:ind w:left="7084" w:hanging="409"/>
      </w:pPr>
      <w:rPr>
        <w:rFonts w:ascii="Arial Unicode MS" w:eastAsia="Arial Unicode MS" w:hAnsi="Arial Unicode MS" w:cs="Arial Unicode MS"/>
        <w:b w:val="0"/>
        <w:bCs w:val="0"/>
        <w:i w:val="0"/>
        <w:iCs w:val="0"/>
        <w:caps w:val="0"/>
        <w:smallCaps w:val="0"/>
        <w:strike w:val="0"/>
        <w:dstrike w:val="0"/>
        <w:outline w:val="0"/>
        <w:emboss w:val="0"/>
        <w:imprint w:val="0"/>
        <w:color w:val="348092"/>
        <w:spacing w:val="0"/>
        <w:w w:val="100"/>
        <w:kern w:val="0"/>
        <w:position w:val="0"/>
        <w:highlight w:val="none"/>
        <w:vertAlign w:val="baseline"/>
      </w:rPr>
    </w:lvl>
    <w:lvl w:ilvl="8" w:tplc="F5D6C826">
      <w:start w:val="1"/>
      <w:numFmt w:val="bullet"/>
      <w:lvlText w:val="•"/>
      <w:lvlJc w:val="left"/>
      <w:pPr>
        <w:tabs>
          <w:tab w:val="left" w:pos="2477"/>
        </w:tabs>
        <w:ind w:left="8004" w:hanging="409"/>
      </w:pPr>
      <w:rPr>
        <w:rFonts w:ascii="Arial Unicode MS" w:eastAsia="Arial Unicode MS" w:hAnsi="Arial Unicode MS" w:cs="Arial Unicode MS"/>
        <w:b w:val="0"/>
        <w:bCs w:val="0"/>
        <w:i w:val="0"/>
        <w:iCs w:val="0"/>
        <w:caps w:val="0"/>
        <w:smallCaps w:val="0"/>
        <w:strike w:val="0"/>
        <w:dstrike w:val="0"/>
        <w:outline w:val="0"/>
        <w:emboss w:val="0"/>
        <w:imprint w:val="0"/>
        <w:color w:val="348092"/>
        <w:spacing w:val="0"/>
        <w:w w:val="100"/>
        <w:kern w:val="0"/>
        <w:position w:val="0"/>
        <w:highlight w:val="none"/>
        <w:vertAlign w:val="baseline"/>
      </w:rPr>
    </w:lvl>
  </w:abstractNum>
  <w:abstractNum w:abstractNumId="30" w15:restartNumberingAfterBreak="0">
    <w:nsid w:val="29611C84"/>
    <w:multiLevelType w:val="hybridMultilevel"/>
    <w:tmpl w:val="5A12C3E4"/>
    <w:lvl w:ilvl="0" w:tplc="0409001B">
      <w:start w:val="1"/>
      <w:numFmt w:val="lowerRoman"/>
      <w:lvlText w:val="%1."/>
      <w:lvlJc w:val="righ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2A872EE0"/>
    <w:multiLevelType w:val="hybridMultilevel"/>
    <w:tmpl w:val="1CFA1284"/>
    <w:lvl w:ilvl="0" w:tplc="76F4D3DE">
      <w:start w:val="1"/>
      <w:numFmt w:val="lowerRoman"/>
      <w:lvlText w:val="%1."/>
      <w:lvlJc w:val="right"/>
      <w:pPr>
        <w:ind w:left="1128" w:hanging="408"/>
      </w:pPr>
      <w:rPr>
        <w:rFonts w:hint="default"/>
        <w:b w:val="0"/>
        <w:bCs w:val="0"/>
        <w:i w:val="0"/>
        <w:iCs w:val="0"/>
        <w:color w:val="auto"/>
        <w:w w:val="99"/>
        <w:sz w:val="20"/>
        <w:szCs w:val="20"/>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325" w:hanging="180"/>
      </w:pPr>
    </w:lvl>
    <w:lvl w:ilvl="3" w:tplc="0409000F" w:tentative="1">
      <w:start w:val="1"/>
      <w:numFmt w:val="decimal"/>
      <w:lvlText w:val="%4."/>
      <w:lvlJc w:val="left"/>
      <w:pPr>
        <w:ind w:left="395" w:hanging="360"/>
      </w:pPr>
    </w:lvl>
    <w:lvl w:ilvl="4" w:tplc="04090019" w:tentative="1">
      <w:start w:val="1"/>
      <w:numFmt w:val="lowerLetter"/>
      <w:lvlText w:val="%5."/>
      <w:lvlJc w:val="left"/>
      <w:pPr>
        <w:ind w:left="1115" w:hanging="360"/>
      </w:pPr>
    </w:lvl>
    <w:lvl w:ilvl="5" w:tplc="0409001B" w:tentative="1">
      <w:start w:val="1"/>
      <w:numFmt w:val="lowerRoman"/>
      <w:lvlText w:val="%6."/>
      <w:lvlJc w:val="right"/>
      <w:pPr>
        <w:ind w:left="1835" w:hanging="180"/>
      </w:pPr>
    </w:lvl>
    <w:lvl w:ilvl="6" w:tplc="0409000F" w:tentative="1">
      <w:start w:val="1"/>
      <w:numFmt w:val="decimal"/>
      <w:lvlText w:val="%7."/>
      <w:lvlJc w:val="left"/>
      <w:pPr>
        <w:ind w:left="2555" w:hanging="360"/>
      </w:pPr>
    </w:lvl>
    <w:lvl w:ilvl="7" w:tplc="04090019" w:tentative="1">
      <w:start w:val="1"/>
      <w:numFmt w:val="lowerLetter"/>
      <w:lvlText w:val="%8."/>
      <w:lvlJc w:val="left"/>
      <w:pPr>
        <w:ind w:left="3275" w:hanging="360"/>
      </w:pPr>
    </w:lvl>
    <w:lvl w:ilvl="8" w:tplc="0409001B" w:tentative="1">
      <w:start w:val="1"/>
      <w:numFmt w:val="lowerRoman"/>
      <w:lvlText w:val="%9."/>
      <w:lvlJc w:val="right"/>
      <w:pPr>
        <w:ind w:left="3995" w:hanging="180"/>
      </w:pPr>
    </w:lvl>
  </w:abstractNum>
  <w:abstractNum w:abstractNumId="32" w15:restartNumberingAfterBreak="0">
    <w:nsid w:val="2C824464"/>
    <w:multiLevelType w:val="hybridMultilevel"/>
    <w:tmpl w:val="2F0082B4"/>
    <w:lvl w:ilvl="0" w:tplc="FFFFFFFF">
      <w:start w:val="1"/>
      <w:numFmt w:val="lowerLetter"/>
      <w:lvlText w:val="%1)"/>
      <w:lvlJc w:val="left"/>
      <w:pPr>
        <w:tabs>
          <w:tab w:val="num" w:pos="1457"/>
        </w:tabs>
        <w:ind w:left="1485" w:hanging="569"/>
      </w:pPr>
      <w:rPr>
        <w:rFonts w:hint="default"/>
        <w:b w:val="0"/>
        <w:bCs w:val="0"/>
        <w:i w:val="0"/>
        <w:iCs w:val="0"/>
        <w:caps w:val="0"/>
        <w:smallCaps w:val="0"/>
        <w:strike w:val="0"/>
        <w:dstrike w:val="0"/>
        <w:outline w:val="0"/>
        <w:emboss w:val="0"/>
        <w:imprint w:val="0"/>
        <w:color w:val="auto"/>
        <w:spacing w:val="0"/>
        <w:w w:val="100"/>
        <w:kern w:val="0"/>
        <w:position w:val="0"/>
        <w:sz w:val="22"/>
        <w:szCs w:val="22"/>
        <w:highlight w:val="none"/>
        <w:vertAlign w:val="baseline"/>
      </w:rPr>
    </w:lvl>
    <w:lvl w:ilvl="1" w:tplc="FFFFFFFF">
      <w:start w:val="1"/>
      <w:numFmt w:val="lowerLetter"/>
      <w:lvlText w:val="%2)"/>
      <w:lvlJc w:val="left"/>
      <w:pPr>
        <w:tabs>
          <w:tab w:val="num" w:pos="1261"/>
          <w:tab w:val="left" w:pos="1457"/>
        </w:tabs>
        <w:ind w:left="12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tabs>
          <w:tab w:val="left" w:pos="1457"/>
          <w:tab w:val="num" w:pos="1981"/>
        </w:tabs>
        <w:ind w:left="20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tabs>
          <w:tab w:val="left" w:pos="1457"/>
          <w:tab w:val="num" w:pos="2701"/>
        </w:tabs>
        <w:ind w:left="27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457"/>
          <w:tab w:val="num" w:pos="3421"/>
        </w:tabs>
        <w:ind w:left="344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1457"/>
          <w:tab w:val="num" w:pos="4141"/>
        </w:tabs>
        <w:ind w:left="416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1457"/>
          <w:tab w:val="num" w:pos="4861"/>
        </w:tabs>
        <w:ind w:left="48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457"/>
          <w:tab w:val="num" w:pos="5581"/>
        </w:tabs>
        <w:ind w:left="56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1457"/>
          <w:tab w:val="num" w:pos="6301"/>
        </w:tabs>
        <w:ind w:left="63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0A14115"/>
    <w:multiLevelType w:val="hybridMultilevel"/>
    <w:tmpl w:val="4956E63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31B7673D"/>
    <w:multiLevelType w:val="multilevel"/>
    <w:tmpl w:val="5D24BC4E"/>
    <w:styleLink w:val="ATUnsortierteListe"/>
    <w:lvl w:ilvl="0">
      <w:start w:val="1"/>
      <w:numFmt w:val="bullet"/>
      <w:pStyle w:val="ListBullet"/>
      <w:lvlText w:val="•"/>
      <w:lvlJc w:val="left"/>
      <w:pPr>
        <w:ind w:left="397" w:hanging="397"/>
      </w:pPr>
      <w:rPr>
        <w:rFonts w:asciiTheme="minorHAnsi" w:hAnsiTheme="minorHAnsi" w:hint="default"/>
        <w:b w:val="0"/>
        <w:i w:val="0"/>
        <w:color w:val="E6242F"/>
        <w:sz w:val="23"/>
        <w:szCs w:val="20"/>
      </w:rPr>
    </w:lvl>
    <w:lvl w:ilvl="1">
      <w:start w:val="1"/>
      <w:numFmt w:val="bullet"/>
      <w:pStyle w:val="ListBullet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ListBullet3"/>
      <w:lvlText w:val="•"/>
      <w:lvlJc w:val="left"/>
      <w:pPr>
        <w:ind w:left="1191" w:hanging="397"/>
      </w:pPr>
      <w:rPr>
        <w:rFonts w:asciiTheme="minorHAnsi" w:hAnsiTheme="minorHAnsi" w:hint="default"/>
        <w:color w:val="auto"/>
        <w:sz w:val="23"/>
      </w:rPr>
    </w:lvl>
    <w:lvl w:ilvl="3">
      <w:start w:val="1"/>
      <w:numFmt w:val="bullet"/>
      <w:pStyle w:val="ListBullet4"/>
      <w:lvlText w:val="–"/>
      <w:lvlJc w:val="left"/>
      <w:pPr>
        <w:ind w:left="1588" w:hanging="397"/>
      </w:pPr>
      <w:rPr>
        <w:rFonts w:asciiTheme="minorHAnsi" w:hAnsiTheme="minorHAnsi" w:hint="default"/>
        <w:color w:val="3F3F3F" w:themeColor="text2"/>
        <w:sz w:val="23"/>
      </w:rPr>
    </w:lvl>
    <w:lvl w:ilvl="4">
      <w:start w:val="1"/>
      <w:numFmt w:val="bullet"/>
      <w:pStyle w:val="ListBullet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35" w15:restartNumberingAfterBreak="0">
    <w:nsid w:val="32245177"/>
    <w:multiLevelType w:val="hybridMultilevel"/>
    <w:tmpl w:val="71F65228"/>
    <w:lvl w:ilvl="0" w:tplc="FFFFFFFF">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36" w15:restartNumberingAfterBreak="0">
    <w:nsid w:val="37BB4F1D"/>
    <w:multiLevelType w:val="hybridMultilevel"/>
    <w:tmpl w:val="58E0F3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64512F"/>
    <w:multiLevelType w:val="hybridMultilevel"/>
    <w:tmpl w:val="9990A2A8"/>
    <w:styleLink w:val="ImportedStyle3"/>
    <w:lvl w:ilvl="0" w:tplc="794CE474">
      <w:start w:val="1"/>
      <w:numFmt w:val="decimal"/>
      <w:lvlText w:val="%1."/>
      <w:lvlJc w:val="left"/>
      <w:pPr>
        <w:ind w:left="626" w:hanging="41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B2BECA86">
      <w:start w:val="1"/>
      <w:numFmt w:val="decimal"/>
      <w:lvlText w:val="%2."/>
      <w:lvlJc w:val="left"/>
      <w:pPr>
        <w:tabs>
          <w:tab w:val="left" w:pos="833"/>
        </w:tabs>
        <w:ind w:left="1346" w:hanging="41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24149E4C">
      <w:start w:val="1"/>
      <w:numFmt w:val="decimal"/>
      <w:lvlText w:val="%3."/>
      <w:lvlJc w:val="left"/>
      <w:pPr>
        <w:tabs>
          <w:tab w:val="left" w:pos="833"/>
        </w:tabs>
        <w:ind w:left="2066" w:hanging="41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697C24F4">
      <w:start w:val="1"/>
      <w:numFmt w:val="decimal"/>
      <w:lvlText w:val="%4."/>
      <w:lvlJc w:val="left"/>
      <w:pPr>
        <w:tabs>
          <w:tab w:val="left" w:pos="833"/>
        </w:tabs>
        <w:ind w:left="2786" w:hanging="41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04E4E160">
      <w:start w:val="1"/>
      <w:numFmt w:val="decimal"/>
      <w:lvlText w:val="%5."/>
      <w:lvlJc w:val="left"/>
      <w:pPr>
        <w:tabs>
          <w:tab w:val="left" w:pos="833"/>
        </w:tabs>
        <w:ind w:left="3506" w:hanging="41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D9647286">
      <w:start w:val="1"/>
      <w:numFmt w:val="decimal"/>
      <w:lvlText w:val="%6."/>
      <w:lvlJc w:val="left"/>
      <w:pPr>
        <w:tabs>
          <w:tab w:val="left" w:pos="833"/>
        </w:tabs>
        <w:ind w:left="4226" w:hanging="41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10F83786">
      <w:start w:val="1"/>
      <w:numFmt w:val="decimal"/>
      <w:lvlText w:val="%7."/>
      <w:lvlJc w:val="left"/>
      <w:pPr>
        <w:tabs>
          <w:tab w:val="left" w:pos="833"/>
        </w:tabs>
        <w:ind w:left="4946" w:hanging="41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7BBA1482">
      <w:start w:val="1"/>
      <w:numFmt w:val="decimal"/>
      <w:lvlText w:val="%8."/>
      <w:lvlJc w:val="left"/>
      <w:pPr>
        <w:tabs>
          <w:tab w:val="left" w:pos="833"/>
        </w:tabs>
        <w:ind w:left="5666" w:hanging="41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20FE37A6">
      <w:start w:val="1"/>
      <w:numFmt w:val="decimal"/>
      <w:lvlText w:val="%9."/>
      <w:lvlJc w:val="left"/>
      <w:pPr>
        <w:tabs>
          <w:tab w:val="left" w:pos="833"/>
        </w:tabs>
        <w:ind w:left="6386" w:hanging="41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BF56D97"/>
    <w:multiLevelType w:val="hybridMultilevel"/>
    <w:tmpl w:val="71F65228"/>
    <w:lvl w:ilvl="0" w:tplc="FFFFFFFF">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39" w15:restartNumberingAfterBreak="0">
    <w:nsid w:val="4005463A"/>
    <w:multiLevelType w:val="hybridMultilevel"/>
    <w:tmpl w:val="1A64CA3C"/>
    <w:lvl w:ilvl="0" w:tplc="FFFFFFFF">
      <w:start w:val="1"/>
      <w:numFmt w:val="lowerLetter"/>
      <w:lvlText w:val="%1)"/>
      <w:lvlJc w:val="left"/>
      <w:pPr>
        <w:tabs>
          <w:tab w:val="num" w:pos="1457"/>
        </w:tabs>
        <w:ind w:left="1485" w:hanging="569"/>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261"/>
          <w:tab w:val="left" w:pos="1457"/>
        </w:tabs>
        <w:ind w:left="12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tabs>
          <w:tab w:val="left" w:pos="1457"/>
          <w:tab w:val="num" w:pos="1981"/>
        </w:tabs>
        <w:ind w:left="20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tabs>
          <w:tab w:val="left" w:pos="1457"/>
          <w:tab w:val="num" w:pos="2701"/>
        </w:tabs>
        <w:ind w:left="27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457"/>
          <w:tab w:val="num" w:pos="3421"/>
        </w:tabs>
        <w:ind w:left="344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1457"/>
          <w:tab w:val="num" w:pos="4141"/>
        </w:tabs>
        <w:ind w:left="416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1457"/>
          <w:tab w:val="num" w:pos="4861"/>
        </w:tabs>
        <w:ind w:left="48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457"/>
          <w:tab w:val="num" w:pos="5581"/>
        </w:tabs>
        <w:ind w:left="56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1457"/>
          <w:tab w:val="num" w:pos="6301"/>
        </w:tabs>
        <w:ind w:left="63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42" w15:restartNumberingAfterBreak="0">
    <w:nsid w:val="459F36F9"/>
    <w:multiLevelType w:val="hybridMultilevel"/>
    <w:tmpl w:val="1A64CA3C"/>
    <w:lvl w:ilvl="0" w:tplc="FFFFFFFF">
      <w:start w:val="1"/>
      <w:numFmt w:val="lowerLetter"/>
      <w:lvlText w:val="%1)"/>
      <w:lvlJc w:val="left"/>
      <w:pPr>
        <w:tabs>
          <w:tab w:val="num" w:pos="1457"/>
        </w:tabs>
        <w:ind w:left="1485" w:hanging="569"/>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261"/>
          <w:tab w:val="left" w:pos="1457"/>
        </w:tabs>
        <w:ind w:left="12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tabs>
          <w:tab w:val="left" w:pos="1457"/>
          <w:tab w:val="num" w:pos="1981"/>
        </w:tabs>
        <w:ind w:left="20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tabs>
          <w:tab w:val="left" w:pos="1457"/>
          <w:tab w:val="num" w:pos="2701"/>
        </w:tabs>
        <w:ind w:left="27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457"/>
          <w:tab w:val="num" w:pos="3421"/>
        </w:tabs>
        <w:ind w:left="344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1457"/>
          <w:tab w:val="num" w:pos="4141"/>
        </w:tabs>
        <w:ind w:left="416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1457"/>
          <w:tab w:val="num" w:pos="4861"/>
        </w:tabs>
        <w:ind w:left="48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457"/>
          <w:tab w:val="num" w:pos="5581"/>
        </w:tabs>
        <w:ind w:left="56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1457"/>
          <w:tab w:val="num" w:pos="6301"/>
        </w:tabs>
        <w:ind w:left="63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7973519"/>
    <w:multiLevelType w:val="hybridMultilevel"/>
    <w:tmpl w:val="1A64CA3C"/>
    <w:lvl w:ilvl="0" w:tplc="FFFFFFFF">
      <w:start w:val="1"/>
      <w:numFmt w:val="lowerLetter"/>
      <w:lvlText w:val="%1)"/>
      <w:lvlJc w:val="left"/>
      <w:pPr>
        <w:tabs>
          <w:tab w:val="num" w:pos="1457"/>
        </w:tabs>
        <w:ind w:left="1485" w:hanging="569"/>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261"/>
          <w:tab w:val="left" w:pos="1457"/>
        </w:tabs>
        <w:ind w:left="12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tabs>
          <w:tab w:val="left" w:pos="1457"/>
          <w:tab w:val="num" w:pos="1981"/>
        </w:tabs>
        <w:ind w:left="20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tabs>
          <w:tab w:val="left" w:pos="1457"/>
          <w:tab w:val="num" w:pos="2701"/>
        </w:tabs>
        <w:ind w:left="27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457"/>
          <w:tab w:val="num" w:pos="3421"/>
        </w:tabs>
        <w:ind w:left="344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1457"/>
          <w:tab w:val="num" w:pos="4141"/>
        </w:tabs>
        <w:ind w:left="416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1457"/>
          <w:tab w:val="num" w:pos="4861"/>
        </w:tabs>
        <w:ind w:left="48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457"/>
          <w:tab w:val="num" w:pos="5581"/>
        </w:tabs>
        <w:ind w:left="56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1457"/>
          <w:tab w:val="num" w:pos="6301"/>
        </w:tabs>
        <w:ind w:left="63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98650D2"/>
    <w:multiLevelType w:val="hybridMultilevel"/>
    <w:tmpl w:val="1A64CA3C"/>
    <w:lvl w:ilvl="0" w:tplc="FFFFFFFF">
      <w:start w:val="1"/>
      <w:numFmt w:val="lowerLetter"/>
      <w:lvlText w:val="%1)"/>
      <w:lvlJc w:val="left"/>
      <w:pPr>
        <w:tabs>
          <w:tab w:val="num" w:pos="1457"/>
        </w:tabs>
        <w:ind w:left="1485" w:hanging="569"/>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261"/>
          <w:tab w:val="left" w:pos="1457"/>
        </w:tabs>
        <w:ind w:left="12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tabs>
          <w:tab w:val="left" w:pos="1457"/>
          <w:tab w:val="num" w:pos="1981"/>
        </w:tabs>
        <w:ind w:left="20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tabs>
          <w:tab w:val="left" w:pos="1457"/>
          <w:tab w:val="num" w:pos="2701"/>
        </w:tabs>
        <w:ind w:left="27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457"/>
          <w:tab w:val="num" w:pos="3421"/>
        </w:tabs>
        <w:ind w:left="344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1457"/>
          <w:tab w:val="num" w:pos="4141"/>
        </w:tabs>
        <w:ind w:left="416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1457"/>
          <w:tab w:val="num" w:pos="4861"/>
        </w:tabs>
        <w:ind w:left="48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457"/>
          <w:tab w:val="num" w:pos="5581"/>
        </w:tabs>
        <w:ind w:left="56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1457"/>
          <w:tab w:val="num" w:pos="6301"/>
        </w:tabs>
        <w:ind w:left="63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C220B75"/>
    <w:multiLevelType w:val="multilevel"/>
    <w:tmpl w:val="C43EFC5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pStyle w:val="Heading9"/>
      <w:suff w:val="nothing"/>
      <w:lvlText w:val=""/>
      <w:lvlJc w:val="left"/>
      <w:pPr>
        <w:ind w:left="680" w:firstLine="0"/>
      </w:pPr>
      <w:rPr>
        <w:rFonts w:hint="default"/>
      </w:rPr>
    </w:lvl>
  </w:abstractNum>
  <w:abstractNum w:abstractNumId="46" w15:restartNumberingAfterBreak="0">
    <w:nsid w:val="4C9C2EEE"/>
    <w:multiLevelType w:val="multilevel"/>
    <w:tmpl w:val="8992467A"/>
    <w:styleLink w:val="Style1"/>
    <w:lvl w:ilvl="0">
      <w:start w:val="1"/>
      <w:numFmt w:val="none"/>
      <w:isLgl/>
      <w:lvlText w:val="2.1"/>
      <w:lvlJc w:val="left"/>
      <w:pPr>
        <w:ind w:left="397" w:hanging="397"/>
      </w:pPr>
      <w:rPr>
        <w:rFonts w:asciiTheme="minorHAnsi" w:hAnsiTheme="minorHAnsi" w:hint="default"/>
        <w:color w:val="3F3F3F" w:themeColor="text2"/>
        <w:sz w:val="22"/>
        <w:szCs w:val="22"/>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47" w15:restartNumberingAfterBreak="0">
    <w:nsid w:val="4EAA19BA"/>
    <w:multiLevelType w:val="multilevel"/>
    <w:tmpl w:val="957A0DB6"/>
    <w:styleLink w:val="ATNummerierteListe"/>
    <w:lvl w:ilvl="0">
      <w:start w:val="1"/>
      <w:numFmt w:val="decimal"/>
      <w:isLgl/>
      <w:lvlText w:val="%1."/>
      <w:lvlJc w:val="left"/>
      <w:pPr>
        <w:ind w:left="397" w:hanging="397"/>
      </w:pPr>
      <w:rPr>
        <w:rFonts w:asciiTheme="minorHAnsi" w:hAnsiTheme="minorHAnsi" w:hint="default"/>
        <w:color w:val="3F3F3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48" w15:restartNumberingAfterBreak="0">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15:restartNumberingAfterBreak="0">
    <w:nsid w:val="520305A0"/>
    <w:multiLevelType w:val="hybridMultilevel"/>
    <w:tmpl w:val="1A64CA3C"/>
    <w:lvl w:ilvl="0" w:tplc="6DA6E442">
      <w:start w:val="1"/>
      <w:numFmt w:val="lowerLetter"/>
      <w:lvlText w:val="%1)"/>
      <w:lvlJc w:val="left"/>
      <w:pPr>
        <w:tabs>
          <w:tab w:val="num" w:pos="1457"/>
        </w:tabs>
        <w:ind w:left="1485" w:hanging="569"/>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261"/>
          <w:tab w:val="left" w:pos="1457"/>
        </w:tabs>
        <w:ind w:left="12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tabs>
          <w:tab w:val="left" w:pos="1457"/>
          <w:tab w:val="num" w:pos="1981"/>
        </w:tabs>
        <w:ind w:left="20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tabs>
          <w:tab w:val="left" w:pos="1457"/>
          <w:tab w:val="num" w:pos="2701"/>
        </w:tabs>
        <w:ind w:left="27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457"/>
          <w:tab w:val="num" w:pos="3421"/>
        </w:tabs>
        <w:ind w:left="344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1457"/>
          <w:tab w:val="num" w:pos="4141"/>
        </w:tabs>
        <w:ind w:left="416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1457"/>
          <w:tab w:val="num" w:pos="4861"/>
        </w:tabs>
        <w:ind w:left="48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457"/>
          <w:tab w:val="num" w:pos="5581"/>
        </w:tabs>
        <w:ind w:left="56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1457"/>
          <w:tab w:val="num" w:pos="6301"/>
        </w:tabs>
        <w:ind w:left="63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ABB0224"/>
    <w:multiLevelType w:val="hybridMultilevel"/>
    <w:tmpl w:val="9A7AC99A"/>
    <w:styleLink w:val="ImportedStyle5"/>
    <w:lvl w:ilvl="0" w:tplc="D82CCCD4">
      <w:start w:val="1"/>
      <w:numFmt w:val="lowerLetter"/>
      <w:lvlText w:val="%1)"/>
      <w:lvlJc w:val="left"/>
      <w:pPr>
        <w:tabs>
          <w:tab w:val="num" w:pos="1457"/>
        </w:tabs>
        <w:ind w:left="1485"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66AAFDB6">
      <w:start w:val="1"/>
      <w:numFmt w:val="lowerLetter"/>
      <w:lvlText w:val="%2)"/>
      <w:lvlJc w:val="left"/>
      <w:pPr>
        <w:tabs>
          <w:tab w:val="num" w:pos="1261"/>
          <w:tab w:val="left" w:pos="1457"/>
        </w:tabs>
        <w:ind w:left="12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F288E156">
      <w:start w:val="1"/>
      <w:numFmt w:val="lowerLetter"/>
      <w:lvlText w:val="%3)"/>
      <w:lvlJc w:val="left"/>
      <w:pPr>
        <w:tabs>
          <w:tab w:val="left" w:pos="1457"/>
          <w:tab w:val="num" w:pos="1981"/>
        </w:tabs>
        <w:ind w:left="20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2EE2F560">
      <w:start w:val="1"/>
      <w:numFmt w:val="lowerLetter"/>
      <w:lvlText w:val="%4)"/>
      <w:lvlJc w:val="left"/>
      <w:pPr>
        <w:tabs>
          <w:tab w:val="left" w:pos="1457"/>
          <w:tab w:val="num" w:pos="2701"/>
        </w:tabs>
        <w:ind w:left="27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08389822">
      <w:start w:val="1"/>
      <w:numFmt w:val="lowerLetter"/>
      <w:lvlText w:val="%5)"/>
      <w:lvlJc w:val="left"/>
      <w:pPr>
        <w:tabs>
          <w:tab w:val="left" w:pos="1457"/>
          <w:tab w:val="num" w:pos="3421"/>
        </w:tabs>
        <w:ind w:left="344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E4DA320E">
      <w:start w:val="1"/>
      <w:numFmt w:val="lowerLetter"/>
      <w:lvlText w:val="%6)"/>
      <w:lvlJc w:val="left"/>
      <w:pPr>
        <w:tabs>
          <w:tab w:val="left" w:pos="1457"/>
          <w:tab w:val="num" w:pos="4141"/>
        </w:tabs>
        <w:ind w:left="416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B12EC2AA">
      <w:start w:val="1"/>
      <w:numFmt w:val="lowerLetter"/>
      <w:lvlText w:val="%7)"/>
      <w:lvlJc w:val="left"/>
      <w:pPr>
        <w:tabs>
          <w:tab w:val="left" w:pos="1457"/>
          <w:tab w:val="num" w:pos="4861"/>
        </w:tabs>
        <w:ind w:left="48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7F0EE316">
      <w:start w:val="1"/>
      <w:numFmt w:val="lowerLetter"/>
      <w:lvlText w:val="%8)"/>
      <w:lvlJc w:val="left"/>
      <w:pPr>
        <w:tabs>
          <w:tab w:val="left" w:pos="1457"/>
          <w:tab w:val="num" w:pos="5581"/>
        </w:tabs>
        <w:ind w:left="56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736429A2">
      <w:start w:val="1"/>
      <w:numFmt w:val="lowerLetter"/>
      <w:lvlText w:val="%9)"/>
      <w:lvlJc w:val="left"/>
      <w:pPr>
        <w:tabs>
          <w:tab w:val="left" w:pos="1457"/>
          <w:tab w:val="num" w:pos="6301"/>
        </w:tabs>
        <w:ind w:left="63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B9B222D"/>
    <w:multiLevelType w:val="hybridMultilevel"/>
    <w:tmpl w:val="C6A4F76A"/>
    <w:lvl w:ilvl="0" w:tplc="6DA6E4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53" w15:restartNumberingAfterBreak="0">
    <w:nsid w:val="623D03BA"/>
    <w:multiLevelType w:val="hybridMultilevel"/>
    <w:tmpl w:val="58E0F3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F60E59"/>
    <w:multiLevelType w:val="hybridMultilevel"/>
    <w:tmpl w:val="2F0082B4"/>
    <w:lvl w:ilvl="0" w:tplc="916C481E">
      <w:start w:val="1"/>
      <w:numFmt w:val="lowerLetter"/>
      <w:lvlText w:val="%1)"/>
      <w:lvlJc w:val="left"/>
      <w:pPr>
        <w:tabs>
          <w:tab w:val="num" w:pos="1457"/>
        </w:tabs>
        <w:ind w:left="1485" w:hanging="569"/>
      </w:pPr>
      <w:rPr>
        <w:rFonts w:hint="default"/>
        <w:b w:val="0"/>
        <w:bCs w:val="0"/>
        <w:i w:val="0"/>
        <w:iCs w:val="0"/>
        <w:caps w:val="0"/>
        <w:smallCaps w:val="0"/>
        <w:strike w:val="0"/>
        <w:dstrike w:val="0"/>
        <w:outline w:val="0"/>
        <w:emboss w:val="0"/>
        <w:imprint w:val="0"/>
        <w:color w:val="auto"/>
        <w:spacing w:val="0"/>
        <w:w w:val="100"/>
        <w:kern w:val="0"/>
        <w:position w:val="0"/>
        <w:sz w:val="22"/>
        <w:szCs w:val="22"/>
        <w:highlight w:val="none"/>
        <w:vertAlign w:val="baseline"/>
      </w:rPr>
    </w:lvl>
    <w:lvl w:ilvl="1" w:tplc="FFFFFFFF">
      <w:start w:val="1"/>
      <w:numFmt w:val="lowerLetter"/>
      <w:lvlText w:val="%2)"/>
      <w:lvlJc w:val="left"/>
      <w:pPr>
        <w:tabs>
          <w:tab w:val="num" w:pos="1261"/>
          <w:tab w:val="left" w:pos="1457"/>
        </w:tabs>
        <w:ind w:left="12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tabs>
          <w:tab w:val="left" w:pos="1457"/>
          <w:tab w:val="num" w:pos="1981"/>
        </w:tabs>
        <w:ind w:left="20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tabs>
          <w:tab w:val="left" w:pos="1457"/>
          <w:tab w:val="num" w:pos="2701"/>
        </w:tabs>
        <w:ind w:left="27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457"/>
          <w:tab w:val="num" w:pos="3421"/>
        </w:tabs>
        <w:ind w:left="344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1457"/>
          <w:tab w:val="num" w:pos="4141"/>
        </w:tabs>
        <w:ind w:left="416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1457"/>
          <w:tab w:val="num" w:pos="4861"/>
        </w:tabs>
        <w:ind w:left="488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457"/>
          <w:tab w:val="num" w:pos="5581"/>
        </w:tabs>
        <w:ind w:left="560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1457"/>
          <w:tab w:val="num" w:pos="6301"/>
        </w:tabs>
        <w:ind w:left="6329" w:hanging="56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CDE5964"/>
    <w:multiLevelType w:val="hybridMultilevel"/>
    <w:tmpl w:val="4956E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D0F27BB"/>
    <w:multiLevelType w:val="hybridMultilevel"/>
    <w:tmpl w:val="58E0F3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58" w15:restartNumberingAfterBreak="0">
    <w:nsid w:val="73A549CE"/>
    <w:multiLevelType w:val="hybridMultilevel"/>
    <w:tmpl w:val="A91C3A0E"/>
    <w:lvl w:ilvl="0" w:tplc="FFFFFFFF">
      <w:start w:val="1"/>
      <w:numFmt w:val="bullet"/>
      <w:lvlText w:val=""/>
      <w:lvlJc w:val="left"/>
      <w:pPr>
        <w:ind w:left="1345" w:hanging="625"/>
      </w:pPr>
      <w:rPr>
        <w:rFonts w:ascii="Symbol" w:hAnsi="Symbol" w:hint="default"/>
        <w:b w:val="0"/>
        <w:bCs w:val="0"/>
        <w:i w:val="0"/>
        <w:iCs w:val="0"/>
        <w:w w:val="100"/>
        <w:sz w:val="22"/>
        <w:szCs w:val="22"/>
      </w:rPr>
    </w:lvl>
    <w:lvl w:ilvl="1" w:tplc="76F4D3DE">
      <w:start w:val="1"/>
      <w:numFmt w:val="lowerRoman"/>
      <w:lvlText w:val="%2."/>
      <w:lvlJc w:val="right"/>
      <w:pPr>
        <w:ind w:left="3613" w:hanging="408"/>
      </w:pPr>
      <w:rPr>
        <w:rFonts w:hint="default"/>
        <w:b w:val="0"/>
        <w:bCs w:val="0"/>
        <w:i w:val="0"/>
        <w:iCs w:val="0"/>
        <w:color w:val="auto"/>
        <w:w w:val="99"/>
        <w:sz w:val="20"/>
        <w:szCs w:val="20"/>
      </w:rPr>
    </w:lvl>
    <w:lvl w:ilvl="2" w:tplc="FFFFFFFF">
      <w:numFmt w:val="bullet"/>
      <w:lvlText w:val="•"/>
      <w:lvlJc w:val="left"/>
      <w:pPr>
        <w:ind w:left="3617" w:hanging="408"/>
      </w:pPr>
      <w:rPr>
        <w:rFonts w:hint="default"/>
      </w:rPr>
    </w:lvl>
    <w:lvl w:ilvl="3" w:tplc="FFFFFFFF">
      <w:numFmt w:val="bullet"/>
      <w:lvlText w:val="•"/>
      <w:lvlJc w:val="left"/>
      <w:pPr>
        <w:ind w:left="4537" w:hanging="408"/>
      </w:pPr>
      <w:rPr>
        <w:rFonts w:hint="default"/>
      </w:rPr>
    </w:lvl>
    <w:lvl w:ilvl="4" w:tplc="FFFFFFFF">
      <w:numFmt w:val="bullet"/>
      <w:lvlText w:val="•"/>
      <w:lvlJc w:val="left"/>
      <w:pPr>
        <w:ind w:left="5458" w:hanging="408"/>
      </w:pPr>
      <w:rPr>
        <w:rFonts w:hint="default"/>
      </w:rPr>
    </w:lvl>
    <w:lvl w:ilvl="5" w:tplc="FFFFFFFF">
      <w:numFmt w:val="bullet"/>
      <w:lvlText w:val="•"/>
      <w:lvlJc w:val="left"/>
      <w:pPr>
        <w:ind w:left="6379" w:hanging="408"/>
      </w:pPr>
      <w:rPr>
        <w:rFonts w:hint="default"/>
      </w:rPr>
    </w:lvl>
    <w:lvl w:ilvl="6" w:tplc="FFFFFFFF">
      <w:numFmt w:val="bullet"/>
      <w:lvlText w:val="•"/>
      <w:lvlJc w:val="left"/>
      <w:pPr>
        <w:ind w:left="7300" w:hanging="408"/>
      </w:pPr>
      <w:rPr>
        <w:rFonts w:hint="default"/>
      </w:rPr>
    </w:lvl>
    <w:lvl w:ilvl="7" w:tplc="FFFFFFFF">
      <w:numFmt w:val="bullet"/>
      <w:lvlText w:val="•"/>
      <w:lvlJc w:val="left"/>
      <w:pPr>
        <w:ind w:left="8221" w:hanging="408"/>
      </w:pPr>
      <w:rPr>
        <w:rFonts w:hint="default"/>
      </w:rPr>
    </w:lvl>
    <w:lvl w:ilvl="8" w:tplc="FFFFFFFF">
      <w:numFmt w:val="bullet"/>
      <w:lvlText w:val="•"/>
      <w:lvlJc w:val="left"/>
      <w:pPr>
        <w:ind w:left="9141" w:hanging="408"/>
      </w:pPr>
      <w:rPr>
        <w:rFonts w:hint="default"/>
      </w:rPr>
    </w:lvl>
  </w:abstractNum>
  <w:abstractNum w:abstractNumId="59" w15:restartNumberingAfterBreak="0">
    <w:nsid w:val="75AD3E7D"/>
    <w:multiLevelType w:val="multilevel"/>
    <w:tmpl w:val="F87AF698"/>
    <w:lvl w:ilvl="0">
      <w:start w:val="1"/>
      <w:numFmt w:val="bullet"/>
      <w:lvlText w:val=""/>
      <w:lvlJc w:val="left"/>
      <w:pPr>
        <w:ind w:left="1117" w:hanging="397"/>
      </w:pPr>
      <w:rPr>
        <w:rFonts w:ascii="Symbol" w:hAnsi="Symbol" w:hint="default"/>
        <w:color w:val="3F3F3F" w:themeColor="text2"/>
        <w:sz w:val="22"/>
        <w:szCs w:val="22"/>
      </w:rPr>
    </w:lvl>
    <w:lvl w:ilvl="1">
      <w:start w:val="1"/>
      <w:numFmt w:val="lowerLetter"/>
      <w:lvlText w:val="%2)"/>
      <w:lvlJc w:val="left"/>
      <w:pPr>
        <w:ind w:left="1514" w:hanging="397"/>
      </w:pPr>
      <w:rPr>
        <w:rFonts w:asciiTheme="minorHAnsi" w:hAnsiTheme="minorHAnsi" w:hint="default"/>
        <w:sz w:val="23"/>
      </w:rPr>
    </w:lvl>
    <w:lvl w:ilvl="2">
      <w:start w:val="1"/>
      <w:numFmt w:val="lowerRoman"/>
      <w:lvlText w:val="%3)"/>
      <w:lvlJc w:val="left"/>
      <w:pPr>
        <w:ind w:left="1911" w:hanging="397"/>
      </w:pPr>
      <w:rPr>
        <w:rFonts w:hint="default"/>
      </w:rPr>
    </w:lvl>
    <w:lvl w:ilvl="3">
      <w:start w:val="1"/>
      <w:numFmt w:val="decimal"/>
      <w:lvlText w:val="%4."/>
      <w:lvlJc w:val="left"/>
      <w:pPr>
        <w:ind w:left="2308" w:hanging="397"/>
      </w:pPr>
      <w:rPr>
        <w:rFonts w:asciiTheme="minorHAnsi" w:hAnsiTheme="minorHAnsi" w:hint="default"/>
      </w:rPr>
    </w:lvl>
    <w:lvl w:ilvl="4">
      <w:start w:val="1"/>
      <w:numFmt w:val="lowerLetter"/>
      <w:lvlText w:val="%5)"/>
      <w:lvlJc w:val="left"/>
      <w:pPr>
        <w:ind w:left="2705" w:hanging="397"/>
      </w:pPr>
      <w:rPr>
        <w:rFonts w:asciiTheme="minorHAnsi" w:hAnsiTheme="minorHAnsi" w:hint="default"/>
      </w:rPr>
    </w:lvl>
    <w:lvl w:ilvl="5">
      <w:start w:val="1"/>
      <w:numFmt w:val="lowerRoman"/>
      <w:lvlText w:val="%6)"/>
      <w:lvlJc w:val="left"/>
      <w:pPr>
        <w:ind w:left="3102" w:hanging="397"/>
      </w:pPr>
      <w:rPr>
        <w:rFonts w:asciiTheme="minorHAnsi" w:hAnsiTheme="minorHAnsi" w:hint="default"/>
      </w:rPr>
    </w:lvl>
    <w:lvl w:ilvl="6">
      <w:start w:val="1"/>
      <w:numFmt w:val="decimal"/>
      <w:lvlText w:val="%7."/>
      <w:lvlJc w:val="left"/>
      <w:pPr>
        <w:ind w:left="3499" w:hanging="397"/>
      </w:pPr>
      <w:rPr>
        <w:rFonts w:asciiTheme="minorHAnsi" w:hAnsiTheme="minorHAnsi" w:hint="default"/>
      </w:rPr>
    </w:lvl>
    <w:lvl w:ilvl="7">
      <w:start w:val="1"/>
      <w:numFmt w:val="lowerLetter"/>
      <w:lvlText w:val="%8."/>
      <w:lvlJc w:val="left"/>
      <w:pPr>
        <w:ind w:left="3896" w:hanging="397"/>
      </w:pPr>
      <w:rPr>
        <w:rFonts w:asciiTheme="minorHAnsi" w:hAnsiTheme="minorHAnsi" w:hint="default"/>
      </w:rPr>
    </w:lvl>
    <w:lvl w:ilvl="8">
      <w:start w:val="1"/>
      <w:numFmt w:val="lowerRoman"/>
      <w:lvlText w:val="%9."/>
      <w:lvlJc w:val="left"/>
      <w:pPr>
        <w:ind w:left="4293" w:hanging="397"/>
      </w:pPr>
      <w:rPr>
        <w:rFonts w:asciiTheme="minorHAnsi" w:hAnsiTheme="minorHAnsi" w:hint="default"/>
      </w:rPr>
    </w:lvl>
  </w:abstractNum>
  <w:abstractNum w:abstractNumId="60" w15:restartNumberingAfterBreak="0">
    <w:nsid w:val="77F706D7"/>
    <w:multiLevelType w:val="hybridMultilevel"/>
    <w:tmpl w:val="45321BBE"/>
    <w:lvl w:ilvl="0" w:tplc="04090017">
      <w:start w:val="1"/>
      <w:numFmt w:val="lowerLetter"/>
      <w:lvlText w:val="%1)"/>
      <w:lvlJc w:val="left"/>
      <w:pPr>
        <w:ind w:left="1250" w:hanging="625"/>
      </w:pPr>
      <w:rPr>
        <w:rFonts w:hint="default"/>
        <w:b w:val="0"/>
        <w:bCs w:val="0"/>
        <w:i w:val="0"/>
        <w:iCs w:val="0"/>
        <w:w w:val="100"/>
        <w:sz w:val="22"/>
        <w:szCs w:val="22"/>
      </w:rPr>
    </w:lvl>
    <w:lvl w:ilvl="1" w:tplc="FFFFFFFF">
      <w:start w:val="1"/>
      <w:numFmt w:val="lowerLetter"/>
      <w:lvlText w:val="%2)"/>
      <w:lvlJc w:val="left"/>
      <w:pPr>
        <w:ind w:left="3518" w:hanging="408"/>
      </w:pPr>
      <w:rPr>
        <w:rFonts w:hint="default"/>
        <w:b w:val="0"/>
        <w:bCs w:val="0"/>
        <w:i w:val="0"/>
        <w:iCs w:val="0"/>
        <w:color w:val="348092"/>
        <w:w w:val="99"/>
        <w:sz w:val="20"/>
        <w:szCs w:val="20"/>
      </w:rPr>
    </w:lvl>
    <w:lvl w:ilvl="2" w:tplc="FFFFFFFF">
      <w:numFmt w:val="bullet"/>
      <w:lvlText w:val="•"/>
      <w:lvlJc w:val="left"/>
      <w:pPr>
        <w:ind w:left="3522" w:hanging="408"/>
      </w:pPr>
      <w:rPr>
        <w:rFonts w:hint="default"/>
      </w:rPr>
    </w:lvl>
    <w:lvl w:ilvl="3" w:tplc="FFFFFFFF">
      <w:numFmt w:val="bullet"/>
      <w:lvlText w:val="•"/>
      <w:lvlJc w:val="left"/>
      <w:pPr>
        <w:ind w:left="4442" w:hanging="408"/>
      </w:pPr>
      <w:rPr>
        <w:rFonts w:hint="default"/>
      </w:rPr>
    </w:lvl>
    <w:lvl w:ilvl="4" w:tplc="FFFFFFFF">
      <w:numFmt w:val="bullet"/>
      <w:lvlText w:val="•"/>
      <w:lvlJc w:val="left"/>
      <w:pPr>
        <w:ind w:left="5363" w:hanging="408"/>
      </w:pPr>
      <w:rPr>
        <w:rFonts w:hint="default"/>
      </w:rPr>
    </w:lvl>
    <w:lvl w:ilvl="5" w:tplc="FFFFFFFF">
      <w:numFmt w:val="bullet"/>
      <w:lvlText w:val="•"/>
      <w:lvlJc w:val="left"/>
      <w:pPr>
        <w:ind w:left="6284" w:hanging="408"/>
      </w:pPr>
      <w:rPr>
        <w:rFonts w:hint="default"/>
      </w:rPr>
    </w:lvl>
    <w:lvl w:ilvl="6" w:tplc="FFFFFFFF">
      <w:numFmt w:val="bullet"/>
      <w:lvlText w:val="•"/>
      <w:lvlJc w:val="left"/>
      <w:pPr>
        <w:ind w:left="7205" w:hanging="408"/>
      </w:pPr>
      <w:rPr>
        <w:rFonts w:hint="default"/>
      </w:rPr>
    </w:lvl>
    <w:lvl w:ilvl="7" w:tplc="FFFFFFFF">
      <w:numFmt w:val="bullet"/>
      <w:lvlText w:val="•"/>
      <w:lvlJc w:val="left"/>
      <w:pPr>
        <w:ind w:left="8126" w:hanging="408"/>
      </w:pPr>
      <w:rPr>
        <w:rFonts w:hint="default"/>
      </w:rPr>
    </w:lvl>
    <w:lvl w:ilvl="8" w:tplc="FFFFFFFF">
      <w:numFmt w:val="bullet"/>
      <w:lvlText w:val="•"/>
      <w:lvlJc w:val="left"/>
      <w:pPr>
        <w:ind w:left="9046" w:hanging="408"/>
      </w:pPr>
      <w:rPr>
        <w:rFonts w:hint="default"/>
      </w:rPr>
    </w:lvl>
  </w:abstractNum>
  <w:abstractNum w:abstractNumId="61" w15:restartNumberingAfterBreak="0">
    <w:nsid w:val="7F2A2FCA"/>
    <w:multiLevelType w:val="hybridMultilevel"/>
    <w:tmpl w:val="C4D6034A"/>
    <w:lvl w:ilvl="0" w:tplc="8506A03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A0782D"/>
    <w:multiLevelType w:val="hybridMultilevel"/>
    <w:tmpl w:val="D41CF6D6"/>
    <w:lvl w:ilvl="0" w:tplc="2914300E">
      <w:start w:val="1"/>
      <w:numFmt w:val="lowerRoman"/>
      <w:lvlText w:val="%1)"/>
      <w:lvlJc w:val="left"/>
      <w:pPr>
        <w:ind w:left="1345" w:hanging="360"/>
      </w:pPr>
      <w:rPr>
        <w:rFonts w:hint="default"/>
        <w:color w:val="auto"/>
        <w:sz w:val="22"/>
        <w:szCs w:val="22"/>
      </w:rPr>
    </w:lvl>
    <w:lvl w:ilvl="1" w:tplc="FFFFFFFF" w:tentative="1">
      <w:start w:val="1"/>
      <w:numFmt w:val="lowerLetter"/>
      <w:lvlText w:val="%2."/>
      <w:lvlJc w:val="left"/>
      <w:pPr>
        <w:ind w:left="2065" w:hanging="360"/>
      </w:pPr>
    </w:lvl>
    <w:lvl w:ilvl="2" w:tplc="FFFFFFFF" w:tentative="1">
      <w:start w:val="1"/>
      <w:numFmt w:val="lowerRoman"/>
      <w:lvlText w:val="%3."/>
      <w:lvlJc w:val="right"/>
      <w:pPr>
        <w:ind w:left="2785" w:hanging="180"/>
      </w:pPr>
    </w:lvl>
    <w:lvl w:ilvl="3" w:tplc="FFFFFFFF" w:tentative="1">
      <w:start w:val="1"/>
      <w:numFmt w:val="decimal"/>
      <w:lvlText w:val="%4."/>
      <w:lvlJc w:val="left"/>
      <w:pPr>
        <w:ind w:left="3505" w:hanging="360"/>
      </w:pPr>
    </w:lvl>
    <w:lvl w:ilvl="4" w:tplc="FFFFFFFF" w:tentative="1">
      <w:start w:val="1"/>
      <w:numFmt w:val="lowerLetter"/>
      <w:lvlText w:val="%5."/>
      <w:lvlJc w:val="left"/>
      <w:pPr>
        <w:ind w:left="4225" w:hanging="360"/>
      </w:pPr>
    </w:lvl>
    <w:lvl w:ilvl="5" w:tplc="FFFFFFFF" w:tentative="1">
      <w:start w:val="1"/>
      <w:numFmt w:val="lowerRoman"/>
      <w:lvlText w:val="%6."/>
      <w:lvlJc w:val="right"/>
      <w:pPr>
        <w:ind w:left="4945" w:hanging="180"/>
      </w:pPr>
    </w:lvl>
    <w:lvl w:ilvl="6" w:tplc="FFFFFFFF" w:tentative="1">
      <w:start w:val="1"/>
      <w:numFmt w:val="decimal"/>
      <w:lvlText w:val="%7."/>
      <w:lvlJc w:val="left"/>
      <w:pPr>
        <w:ind w:left="5665" w:hanging="360"/>
      </w:pPr>
    </w:lvl>
    <w:lvl w:ilvl="7" w:tplc="FFFFFFFF" w:tentative="1">
      <w:start w:val="1"/>
      <w:numFmt w:val="lowerLetter"/>
      <w:lvlText w:val="%8."/>
      <w:lvlJc w:val="left"/>
      <w:pPr>
        <w:ind w:left="6385" w:hanging="360"/>
      </w:pPr>
    </w:lvl>
    <w:lvl w:ilvl="8" w:tplc="FFFFFFFF" w:tentative="1">
      <w:start w:val="1"/>
      <w:numFmt w:val="lowerRoman"/>
      <w:lvlText w:val="%9."/>
      <w:lvlJc w:val="right"/>
      <w:pPr>
        <w:ind w:left="7105" w:hanging="180"/>
      </w:pPr>
    </w:lvl>
  </w:abstractNum>
  <w:num w:numId="1">
    <w:abstractNumId w:val="19"/>
  </w:num>
  <w:num w:numId="2">
    <w:abstractNumId w:val="40"/>
  </w:num>
  <w:num w:numId="3">
    <w:abstractNumId w:val="17"/>
  </w:num>
  <w:num w:numId="4">
    <w:abstractNumId w:val="57"/>
  </w:num>
  <w:num w:numId="5">
    <w:abstractNumId w:val="47"/>
  </w:num>
  <w:num w:numId="6">
    <w:abstractNumId w:val="34"/>
  </w:num>
  <w:num w:numId="7">
    <w:abstractNumId w:val="2"/>
  </w:num>
  <w:num w:numId="8">
    <w:abstractNumId w:val="4"/>
  </w:num>
  <w:num w:numId="9">
    <w:abstractNumId w:val="41"/>
  </w:num>
  <w:num w:numId="10">
    <w:abstractNumId w:val="52"/>
  </w:num>
  <w:num w:numId="11">
    <w:abstractNumId w:val="21"/>
  </w:num>
  <w:num w:numId="12">
    <w:abstractNumId w:val="16"/>
  </w:num>
  <w:num w:numId="13">
    <w:abstractNumId w:val="37"/>
  </w:num>
  <w:num w:numId="14">
    <w:abstractNumId w:val="50"/>
  </w:num>
  <w:num w:numId="15">
    <w:abstractNumId w:val="29"/>
  </w:num>
  <w:num w:numId="16">
    <w:abstractNumId w:val="23"/>
  </w:num>
  <w:num w:numId="17">
    <w:abstractNumId w:val="25"/>
  </w:num>
  <w:num w:numId="18">
    <w:abstractNumId w:val="51"/>
  </w:num>
  <w:num w:numId="19">
    <w:abstractNumId w:val="46"/>
  </w:num>
  <w:num w:numId="20">
    <w:abstractNumId w:val="8"/>
  </w:num>
  <w:num w:numId="21">
    <w:abstractNumId w:val="13"/>
  </w:num>
  <w:num w:numId="22">
    <w:abstractNumId w:val="28"/>
  </w:num>
  <w:num w:numId="23">
    <w:abstractNumId w:val="12"/>
  </w:num>
  <w:num w:numId="24">
    <w:abstractNumId w:val="22"/>
  </w:num>
  <w:num w:numId="25">
    <w:abstractNumId w:val="30"/>
  </w:num>
  <w:num w:numId="26">
    <w:abstractNumId w:val="60"/>
  </w:num>
  <w:num w:numId="27">
    <w:abstractNumId w:val="49"/>
  </w:num>
  <w:num w:numId="28">
    <w:abstractNumId w:val="44"/>
  </w:num>
  <w:num w:numId="29">
    <w:abstractNumId w:val="42"/>
  </w:num>
  <w:num w:numId="30">
    <w:abstractNumId w:val="39"/>
  </w:num>
  <w:num w:numId="31">
    <w:abstractNumId w:val="43"/>
  </w:num>
  <w:num w:numId="32">
    <w:abstractNumId w:val="54"/>
  </w:num>
  <w:num w:numId="33">
    <w:abstractNumId w:val="32"/>
  </w:num>
  <w:num w:numId="34">
    <w:abstractNumId w:val="24"/>
  </w:num>
  <w:num w:numId="35">
    <w:abstractNumId w:val="26"/>
  </w:num>
  <w:num w:numId="36">
    <w:abstractNumId w:val="53"/>
  </w:num>
  <w:num w:numId="37">
    <w:abstractNumId w:val="58"/>
  </w:num>
  <w:num w:numId="38">
    <w:abstractNumId w:val="31"/>
  </w:num>
  <w:num w:numId="39">
    <w:abstractNumId w:val="59"/>
  </w:num>
  <w:num w:numId="40">
    <w:abstractNumId w:val="56"/>
  </w:num>
  <w:num w:numId="41">
    <w:abstractNumId w:val="1"/>
  </w:num>
  <w:num w:numId="42">
    <w:abstractNumId w:val="3"/>
  </w:num>
  <w:num w:numId="43">
    <w:abstractNumId w:val="55"/>
  </w:num>
  <w:num w:numId="44">
    <w:abstractNumId w:val="33"/>
  </w:num>
  <w:num w:numId="45">
    <w:abstractNumId w:val="61"/>
  </w:num>
  <w:num w:numId="46">
    <w:abstractNumId w:val="6"/>
  </w:num>
  <w:num w:numId="47">
    <w:abstractNumId w:val="9"/>
  </w:num>
  <w:num w:numId="48">
    <w:abstractNumId w:val="7"/>
  </w:num>
  <w:num w:numId="49">
    <w:abstractNumId w:val="62"/>
  </w:num>
  <w:num w:numId="50">
    <w:abstractNumId w:val="0"/>
  </w:num>
  <w:num w:numId="51">
    <w:abstractNumId w:val="10"/>
  </w:num>
  <w:num w:numId="52">
    <w:abstractNumId w:val="15"/>
  </w:num>
  <w:num w:numId="53">
    <w:abstractNumId w:val="36"/>
  </w:num>
  <w:num w:numId="54">
    <w:abstractNumId w:val="11"/>
  </w:num>
  <w:num w:numId="55">
    <w:abstractNumId w:val="18"/>
  </w:num>
  <w:num w:numId="56">
    <w:abstractNumId w:val="5"/>
  </w:num>
  <w:num w:numId="57">
    <w:abstractNumId w:val="14"/>
  </w:num>
  <w:num w:numId="58">
    <w:abstractNumId w:val="20"/>
    <w:lvlOverride w:ilvl="0">
      <w:startOverride w:val="1"/>
    </w:lvlOverride>
  </w:num>
  <w:num w:numId="59">
    <w:abstractNumId w:val="45"/>
  </w:num>
  <w:num w:numId="60">
    <w:abstractNumId w:val="20"/>
  </w:num>
  <w:num w:numId="61">
    <w:abstractNumId w:val="48"/>
  </w:num>
  <w:num w:numId="62">
    <w:abstractNumId w:val="27"/>
  </w:num>
  <w:num w:numId="63">
    <w:abstractNumId w:val="20"/>
  </w:num>
  <w:num w:numId="64">
    <w:abstractNumId w:val="48"/>
  </w:num>
  <w:num w:numId="65">
    <w:abstractNumId w:val="38"/>
  </w:num>
  <w:num w:numId="66">
    <w:abstractNumId w:val="20"/>
    <w:lvlOverride w:ilvl="0">
      <w:startOverride w:val="1"/>
    </w:lvlOverride>
  </w:num>
  <w:num w:numId="67">
    <w:abstractNumId w:val="20"/>
  </w:num>
  <w:num w:numId="68">
    <w:abstractNumId w:val="20"/>
  </w:num>
  <w:num w:numId="69">
    <w:abstractNumId w:val="48"/>
  </w:num>
  <w:num w:numId="70">
    <w:abstractNumId w:val="20"/>
  </w:num>
  <w:num w:numId="71">
    <w:abstractNumId w:val="20"/>
  </w:num>
  <w:num w:numId="72">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removePersonalInformation/>
  <w:removeDateAndTime/>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tInPropertywdPropertyAuthor" w:val="KUMAR Ashish"/>
    <w:docVar w:name="BuiltInPropertywdPropertySubject" w:val=" "/>
    <w:docVar w:name="OECDDocumentClassification" w:val="For Official Use"/>
    <w:docVar w:name="OECDDocumentContactInfo" w:val="Tom NEYLAN, Tel.: +(33-1) 45 24 98 53, Tom.NEYLAN@fatf-gafi.org_x000d_Ashish KUMAR, Tel.: +(33-1) 85 55 60 02, Ashish.KUMAR@fatf-gafi.org_x000d_Tanna CHONG, Tel.: +(33-1) 45 24 74 54, Tanna.CHONG@fatf-gafi.org"/>
    <w:docVar w:name="OECDDocumentCote" w:val="FATF/PDG(2022)8/REV2"/>
    <w:docVar w:name="OecdDocumentCoteLangHash" w:val="17E2408E920952F45DAB82CEC00408A2AA084603A9E6710342A75BD0623C3FCE"/>
    <w:docVar w:name="OECDDocumentDocumentAbstract" w:val="Issue: This paper contains the draft guidance on beneficial ownership (R.24), for agreement for full public consultation with private sector and other stakeholders._x000d__x000d_Action: For decision._x000d__x000d_FATF-XXXIII_x000d_The confidentiality of FATF documents, their protection, and their non-disclosure are crucial to the FATF being able to fulfil its mandate. FATF meetings – in line with the organisation’s mandate to combat money-laundering, terrorist financing, and the financing of proliferation of weapons of mass destruction and the consequent nature of its work and discussions – are private and confidential. The documents, discussions and correspondence relating to them, are shared with delegates in strict confidence, for use solely in accordance with the FATF mandate, and should be protected as such and not disclosed. By downloading the documents referenced in this document and participating in the discussions related to them, you agree to respect the confidentiality of the information shared and to take all appropriate measures to ensure the documents, discussions and correspondence are not disclosed to any third parties."/>
    <w:docVar w:name="OECDDocumentDocumentLanguage" w:val="English"/>
    <w:docVar w:name="OECDDocumentHasBeenSubmitted" w:val="False"/>
    <w:docVar w:name="OECDDocumentId" w:val="DB4A0C59F5368FA62843DF1DBA63051A28AFB4498854E92A14BD36BDFBC78FE0"/>
    <w:docVar w:name="OECDDocumentJobTicket" w:val="JT03503787"/>
    <w:docVar w:name="OECDDocumentJobTicketHash" w:val="19553BDA516A06A243AEBBD68E893CD1E51A7ECB5187331C7B30869525A34C22"/>
    <w:docVar w:name="OECDDocumentOriginalLanguage" w:val="English"/>
    <w:docVar w:name="OECDDocumentSubmissionAuthor" w:val="GOUVEIA Sara"/>
    <w:docVar w:name="OECDDocumentValidationDate" w:val="10/03/2022 12:54:26"/>
    <w:docVar w:name="OECDDocumentValidationErrors" w:val="0"/>
    <w:docVar w:name="OECDDocumentValidationWarnings" w:val="12"/>
    <w:docVar w:name="OECDDocumentValidationWordCount" w:val="29842"/>
    <w:docVar w:name="OECDDocumentWorkingParty" w:val="Policy Development Group"/>
    <w:docVar w:name="OECDTemplateLocation" w:val="W:\Office2016\Workgroup Templates"/>
    <w:docVar w:name="OECDTemplateName" w:val="ONE Author ODPub.dotx"/>
    <w:docVar w:name="OECDTemplateVersion" w:val="3.22"/>
    <w:docVar w:name="OECDTemplateVersionOriginal" w:val="3.22"/>
  </w:docVars>
  <w:rsids>
    <w:rsidRoot w:val="00EC6B4B"/>
    <w:rsid w:val="001305B9"/>
    <w:rsid w:val="002175CB"/>
    <w:rsid w:val="002454B1"/>
    <w:rsid w:val="002C62E9"/>
    <w:rsid w:val="00317BD0"/>
    <w:rsid w:val="003A606E"/>
    <w:rsid w:val="004E1359"/>
    <w:rsid w:val="00512FD9"/>
    <w:rsid w:val="00574A6D"/>
    <w:rsid w:val="005D4834"/>
    <w:rsid w:val="00893251"/>
    <w:rsid w:val="00B97967"/>
    <w:rsid w:val="00C83A54"/>
    <w:rsid w:val="00CF7A67"/>
    <w:rsid w:val="00DC462E"/>
    <w:rsid w:val="00EC6B4B"/>
    <w:rsid w:val="00F602E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63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iPriority="1" w:qFormat="1"/>
    <w:lsdException w:name="heading 7" w:uiPriority="12" w:qFormat="1"/>
    <w:lsdException w:name="heading 8" w:uiPriority="9"/>
    <w:lsdException w:name="heading 9"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iPriority="9"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iPriority="10" w:unhideWhenUsed="1"/>
    <w:lsdException w:name="List Bullet 4" w:semiHidden="1" w:uiPriority="10" w:unhideWhenUsed="1"/>
    <w:lsdException w:name="List Bullet 5" w:semiHidden="1" w:uiPriority="10" w:unhideWhenUsed="1"/>
    <w:lsdException w:name="List Number 2" w:semiHidden="1" w:uiPriority="12" w:unhideWhenUsed="1"/>
    <w:lsdException w:name="List Number 3" w:semiHidden="1" w:uiPriority="12" w:unhideWhenUsed="1"/>
    <w:lsdException w:name="List Number 4" w:semiHidden="1" w:uiPriority="12" w:unhideWhenUsed="1"/>
    <w:lsdException w:name="List Number 5" w:semiHidden="1" w:uiPriority="12" w:unhideWhenUsed="1"/>
    <w:lsdException w:name="Title" w:uiPriority="0" w:qFormat="1"/>
    <w:lsdException w:name="Closing" w:semiHidden="1" w:uiPriority="46"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13" w:unhideWhenUsed="1"/>
    <w:lsdException w:name="List Continue 2" w:semiHidden="1" w:uiPriority="14" w:unhideWhenUsed="1"/>
    <w:lsdException w:name="List Continue 3" w:semiHidden="1" w:uiPriority="14"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jc w:val="both"/>
    </w:pPr>
  </w:style>
  <w:style w:type="paragraph" w:styleId="Heading1">
    <w:name w:val="heading 1"/>
    <w:aliases w:val="Ü1"/>
    <w:basedOn w:val="Normal"/>
    <w:next w:val="Para0"/>
    <w:link w:val="Heading1Char"/>
    <w:uiPriority w:val="1"/>
    <w:qFormat/>
    <w:pPr>
      <w:keepNext/>
      <w:keepLines/>
      <w:widowControl/>
      <w:numPr>
        <w:numId w:val="59"/>
      </w:numPr>
      <w:tabs>
        <w:tab w:val="left" w:pos="850"/>
        <w:tab w:val="left" w:pos="1191"/>
        <w:tab w:val="left" w:pos="1531"/>
      </w:tabs>
      <w:spacing w:before="480" w:after="240"/>
      <w:jc w:val="left"/>
      <w:outlineLvl w:val="0"/>
    </w:pPr>
    <w:rPr>
      <w:rFonts w:cstheme="majorBidi"/>
      <w:b/>
      <w:bCs/>
      <w:color w:val="4E81BD"/>
      <w:kern w:val="28"/>
      <w:sz w:val="24"/>
      <w:szCs w:val="20"/>
    </w:rPr>
  </w:style>
  <w:style w:type="paragraph" w:styleId="Heading2">
    <w:name w:val="heading 2"/>
    <w:aliases w:val="Ü2"/>
    <w:basedOn w:val="Normal"/>
    <w:next w:val="Para0"/>
    <w:link w:val="Heading2Char"/>
    <w:uiPriority w:val="1"/>
    <w:qFormat/>
    <w:pPr>
      <w:keepNext/>
      <w:widowControl/>
      <w:numPr>
        <w:ilvl w:val="1"/>
        <w:numId w:val="59"/>
      </w:numPr>
      <w:tabs>
        <w:tab w:val="left" w:pos="850"/>
        <w:tab w:val="left" w:pos="1191"/>
        <w:tab w:val="left" w:pos="1531"/>
      </w:tabs>
      <w:spacing w:before="240" w:after="240"/>
      <w:ind w:right="680"/>
      <w:jc w:val="left"/>
      <w:outlineLvl w:val="1"/>
    </w:pPr>
    <w:rPr>
      <w:rFonts w:cstheme="majorBidi"/>
      <w:b/>
      <w:bCs/>
      <w:sz w:val="24"/>
    </w:rPr>
  </w:style>
  <w:style w:type="paragraph" w:styleId="Heading3">
    <w:name w:val="heading 3"/>
    <w:aliases w:val="Ü3"/>
    <w:basedOn w:val="Normal"/>
    <w:next w:val="Para0"/>
    <w:link w:val="Heading3Char"/>
    <w:uiPriority w:val="1"/>
    <w:qFormat/>
    <w:pPr>
      <w:keepNext/>
      <w:keepLines/>
      <w:widowControl/>
      <w:numPr>
        <w:ilvl w:val="2"/>
        <w:numId w:val="59"/>
      </w:numPr>
      <w:tabs>
        <w:tab w:val="left" w:pos="850"/>
        <w:tab w:val="left" w:pos="1191"/>
        <w:tab w:val="left" w:pos="1531"/>
      </w:tabs>
      <w:spacing w:before="240" w:after="120"/>
      <w:ind w:right="680"/>
      <w:jc w:val="left"/>
      <w:outlineLvl w:val="2"/>
    </w:pPr>
    <w:rPr>
      <w:rFonts w:cstheme="majorBidi"/>
      <w:b/>
      <w:bCs/>
      <w:i/>
      <w:iCs/>
      <w:color w:val="262626"/>
      <w:sz w:val="24"/>
    </w:rPr>
  </w:style>
  <w:style w:type="paragraph" w:styleId="Heading4">
    <w:name w:val="heading 4"/>
    <w:aliases w:val="Ü4"/>
    <w:basedOn w:val="Normal"/>
    <w:next w:val="Para0"/>
    <w:link w:val="Heading4Char"/>
    <w:uiPriority w:val="1"/>
    <w:qFormat/>
    <w:pPr>
      <w:keepNext/>
      <w:keepLines/>
      <w:widowControl/>
      <w:numPr>
        <w:ilvl w:val="3"/>
        <w:numId w:val="59"/>
      </w:numPr>
      <w:tabs>
        <w:tab w:val="left" w:pos="850"/>
        <w:tab w:val="left" w:pos="1191"/>
        <w:tab w:val="left" w:pos="1531"/>
      </w:tabs>
      <w:spacing w:before="240" w:after="120"/>
      <w:ind w:right="680"/>
      <w:jc w:val="left"/>
      <w:outlineLvl w:val="3"/>
    </w:pPr>
    <w:rPr>
      <w:rFonts w:cstheme="majorBidi"/>
      <w:i/>
      <w:iCs/>
      <w:color w:val="000000" w:themeColor="text1"/>
      <w:sz w:val="24"/>
    </w:rPr>
  </w:style>
  <w:style w:type="paragraph" w:styleId="Heading5">
    <w:name w:val="heading 5"/>
    <w:aliases w:val="Ü5"/>
    <w:basedOn w:val="Normal"/>
    <w:next w:val="Para0"/>
    <w:link w:val="Heading5Char"/>
    <w:uiPriority w:val="1"/>
    <w:qFormat/>
    <w:pPr>
      <w:keepNext/>
      <w:keepLines/>
      <w:widowControl/>
      <w:numPr>
        <w:ilvl w:val="4"/>
        <w:numId w:val="59"/>
      </w:numPr>
      <w:tabs>
        <w:tab w:val="left" w:pos="850"/>
        <w:tab w:val="left" w:pos="1191"/>
        <w:tab w:val="left" w:pos="1531"/>
      </w:tabs>
      <w:spacing w:before="240" w:after="120"/>
      <w:ind w:right="680"/>
      <w:jc w:val="left"/>
      <w:outlineLvl w:val="4"/>
    </w:pPr>
    <w:rPr>
      <w:rFonts w:cstheme="majorBidi"/>
      <w:color w:val="000000" w:themeColor="text1"/>
      <w:sz w:val="24"/>
    </w:rPr>
  </w:style>
  <w:style w:type="paragraph" w:styleId="Heading6">
    <w:name w:val="heading 6"/>
    <w:aliases w:val="Part"/>
    <w:basedOn w:val="Normal"/>
    <w:next w:val="Heading1"/>
    <w:link w:val="Heading6Char"/>
    <w:uiPriority w:val="1"/>
    <w:qFormat/>
    <w:pPr>
      <w:keepNext/>
      <w:widowControl/>
      <w:numPr>
        <w:ilvl w:val="5"/>
        <w:numId w:val="59"/>
      </w:numPr>
      <w:tabs>
        <w:tab w:val="left" w:pos="850"/>
        <w:tab w:val="left" w:pos="1191"/>
        <w:tab w:val="left" w:pos="1531"/>
      </w:tabs>
      <w:spacing w:before="1200" w:after="720"/>
      <w:jc w:val="center"/>
      <w:outlineLvl w:val="5"/>
    </w:pPr>
    <w:rPr>
      <w:rFonts w:cstheme="majorBidi"/>
      <w:b/>
      <w:color w:val="4E81BD"/>
      <w:sz w:val="28"/>
    </w:rPr>
  </w:style>
  <w:style w:type="paragraph" w:styleId="Heading7">
    <w:name w:val="heading 7"/>
    <w:aliases w:val="Doc AnnX"/>
    <w:basedOn w:val="Normal"/>
    <w:next w:val="Para0"/>
    <w:link w:val="Heading7Char"/>
    <w:uiPriority w:val="12"/>
    <w:qFormat/>
    <w:pPr>
      <w:keepNext/>
      <w:widowControl/>
      <w:numPr>
        <w:ilvl w:val="6"/>
        <w:numId w:val="59"/>
      </w:numPr>
      <w:tabs>
        <w:tab w:val="left" w:pos="850"/>
        <w:tab w:val="left" w:pos="1191"/>
        <w:tab w:val="left" w:pos="1531"/>
      </w:tabs>
      <w:spacing w:before="1200" w:after="720"/>
      <w:jc w:val="center"/>
      <w:outlineLvl w:val="6"/>
    </w:pPr>
    <w:rPr>
      <w:rFonts w:cstheme="majorBidi"/>
      <w:b/>
      <w:color w:val="4E81BD"/>
      <w:sz w:val="28"/>
    </w:rPr>
  </w:style>
  <w:style w:type="paragraph" w:styleId="Heading8">
    <w:name w:val="heading 8"/>
    <w:aliases w:val="Part AnnX"/>
    <w:next w:val="Para0"/>
    <w:link w:val="Heading8Char"/>
    <w:uiPriority w:val="9"/>
    <w:pPr>
      <w:keepNext/>
      <w:pageBreakBefore/>
      <w:numPr>
        <w:ilvl w:val="7"/>
        <w:numId w:val="59"/>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basedOn w:val="Heading8"/>
    <w:next w:val="Para0"/>
    <w:link w:val="Heading9Char"/>
    <w:uiPriority w:val="14"/>
    <w:qFormat/>
    <w:pPr>
      <w:numPr>
        <w:ilvl w:val="8"/>
      </w:numPr>
      <w:tabs>
        <w:tab w:val="left" w:pos="850"/>
        <w:tab w:val="left" w:pos="1191"/>
        <w:tab w:val="left" w:pos="1531"/>
      </w:tabs>
      <w:outlineLvl w:val="8"/>
    </w:pPr>
    <w:rPr>
      <w:rFonts w:ascii="Times New Roman" w:eastAsiaTheme="minorHAnsi" w:hAnsi="Times New Roman"/>
      <w:color w:val="4E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basedOn w:val="Normal"/>
    <w:link w:val="ParaChar"/>
    <w:uiPriority w:val="3"/>
    <w:qFormat/>
    <w:pPr>
      <w:widowControl/>
      <w:spacing w:before="120" w:after="120"/>
      <w:ind w:left="680" w:right="680"/>
    </w:pPr>
    <w:rPr>
      <w:rFonts w:eastAsia="SimSun"/>
    </w:rPr>
  </w:style>
  <w:style w:type="paragraph" w:styleId="Title">
    <w:name w:val="Title"/>
    <w:basedOn w:val="Normal"/>
    <w:next w:val="Para0"/>
    <w:link w:val="TitleChar"/>
    <w:qFormat/>
    <w:pPr>
      <w:keepNext/>
      <w:keepLines/>
      <w:widowControl/>
      <w:tabs>
        <w:tab w:val="left" w:pos="850"/>
        <w:tab w:val="left" w:pos="1191"/>
        <w:tab w:val="left" w:pos="1531"/>
      </w:tabs>
      <w:spacing w:before="1200" w:after="720"/>
      <w:ind w:left="680" w:right="680"/>
      <w:jc w:val="center"/>
      <w:outlineLvl w:val="0"/>
    </w:pPr>
    <w:rPr>
      <w:rFonts w:cs="Arial"/>
      <w:bCs/>
      <w:i/>
      <w:color w:val="4E81BD"/>
      <w:kern w:val="28"/>
      <w:sz w:val="32"/>
      <w:szCs w:val="32"/>
    </w:rPr>
  </w:style>
  <w:style w:type="character" w:customStyle="1" w:styleId="ParaChar">
    <w:name w:val="Para Char"/>
    <w:basedOn w:val="DefaultParagraphFont"/>
    <w:link w:val="Para0"/>
    <w:uiPriority w:val="3"/>
    <w:rPr>
      <w:rFonts w:eastAsia="SimSun"/>
    </w:rPr>
  </w:style>
  <w:style w:type="character" w:customStyle="1" w:styleId="TitleChar">
    <w:name w:val="Title Char"/>
    <w:basedOn w:val="DefaultParagraphFont"/>
    <w:link w:val="Title"/>
    <w:rPr>
      <w:rFonts w:cs="Arial"/>
      <w:bCs/>
      <w:i/>
      <w:color w:val="4E81BD"/>
      <w:kern w:val="28"/>
      <w:sz w:val="32"/>
      <w:szCs w:val="32"/>
    </w:rPr>
  </w:style>
  <w:style w:type="character" w:customStyle="1" w:styleId="Heading1Char">
    <w:name w:val="Heading 1 Char"/>
    <w:aliases w:val="Ü1 Char"/>
    <w:basedOn w:val="DefaultParagraphFont"/>
    <w:link w:val="Heading1"/>
    <w:uiPriority w:val="1"/>
    <w:rPr>
      <w:rFonts w:cstheme="majorBidi"/>
      <w:b/>
      <w:bCs/>
      <w:color w:val="4E81BD"/>
      <w:kern w:val="28"/>
      <w:sz w:val="24"/>
      <w:szCs w:val="20"/>
    </w:rPr>
  </w:style>
  <w:style w:type="character" w:customStyle="1" w:styleId="Heading2Char">
    <w:name w:val="Heading 2 Char"/>
    <w:aliases w:val="Ü2 Char"/>
    <w:basedOn w:val="DefaultParagraphFont"/>
    <w:link w:val="Heading2"/>
    <w:uiPriority w:val="1"/>
    <w:rPr>
      <w:rFonts w:cstheme="majorBidi"/>
      <w:b/>
      <w:bCs/>
      <w:sz w:val="24"/>
    </w:rPr>
  </w:style>
  <w:style w:type="character" w:customStyle="1" w:styleId="Heading3Char">
    <w:name w:val="Heading 3 Char"/>
    <w:aliases w:val="Ü3 Char"/>
    <w:basedOn w:val="DefaultParagraphFont"/>
    <w:link w:val="Heading3"/>
    <w:uiPriority w:val="1"/>
    <w:rPr>
      <w:rFonts w:cstheme="majorBidi"/>
      <w:b/>
      <w:bCs/>
      <w:i/>
      <w:iCs/>
      <w:color w:val="262626"/>
      <w:sz w:val="24"/>
    </w:rPr>
  </w:style>
  <w:style w:type="character" w:customStyle="1" w:styleId="Heading4Char">
    <w:name w:val="Heading 4 Char"/>
    <w:aliases w:val="Ü4 Char"/>
    <w:basedOn w:val="DefaultParagraphFont"/>
    <w:link w:val="Heading4"/>
    <w:uiPriority w:val="1"/>
    <w:rPr>
      <w:rFonts w:cstheme="majorBidi"/>
      <w:i/>
      <w:iCs/>
      <w:color w:val="000000" w:themeColor="text1"/>
      <w:sz w:val="24"/>
    </w:rPr>
  </w:style>
  <w:style w:type="character" w:customStyle="1" w:styleId="Heading5Char">
    <w:name w:val="Heading 5 Char"/>
    <w:aliases w:val="Ü5 Char"/>
    <w:basedOn w:val="DefaultParagraphFont"/>
    <w:link w:val="Heading5"/>
    <w:uiPriority w:val="1"/>
    <w:rPr>
      <w:rFonts w:cstheme="majorBidi"/>
      <w:color w:val="000000" w:themeColor="text1"/>
      <w:sz w:val="24"/>
    </w:rPr>
  </w:style>
  <w:style w:type="character" w:customStyle="1" w:styleId="Heading6Char">
    <w:name w:val="Heading 6 Char"/>
    <w:aliases w:val="Part Char"/>
    <w:basedOn w:val="DefaultParagraphFont"/>
    <w:link w:val="Heading6"/>
    <w:uiPriority w:val="1"/>
    <w:rPr>
      <w:rFonts w:cstheme="majorBidi"/>
      <w:b/>
      <w:color w:val="4E81BD"/>
      <w:sz w:val="28"/>
    </w:rPr>
  </w:style>
  <w:style w:type="character" w:customStyle="1" w:styleId="Heading7Char">
    <w:name w:val="Heading 7 Char"/>
    <w:aliases w:val="Doc AnnX Char"/>
    <w:basedOn w:val="DefaultParagraphFont"/>
    <w:link w:val="Heading7"/>
    <w:uiPriority w:val="12"/>
    <w:rPr>
      <w:rFonts w:cstheme="majorBidi"/>
      <w:b/>
      <w:color w:val="4E81BD"/>
      <w:sz w:val="28"/>
    </w:rPr>
  </w:style>
  <w:style w:type="character" w:customStyle="1" w:styleId="Heading8Char">
    <w:name w:val="Heading 8 Char"/>
    <w:aliases w:val="Part AnnX Char"/>
    <w:basedOn w:val="DefaultParagraphFont"/>
    <w:link w:val="Heading8"/>
    <w:uiPriority w:val="9"/>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14"/>
    <w:rPr>
      <w:rFonts w:cstheme="majorBidi"/>
      <w:b/>
      <w:color w:val="4E81BD"/>
      <w:sz w:val="28"/>
      <w:szCs w:val="20"/>
    </w:rPr>
  </w:style>
  <w:style w:type="paragraph" w:customStyle="1" w:styleId="Title2">
    <w:name w:val="Title 2"/>
    <w:basedOn w:val="Heading2"/>
    <w:next w:val="Para0"/>
    <w:qFormat/>
    <w:pPr>
      <w:numPr>
        <w:ilvl w:val="0"/>
        <w:numId w:val="0"/>
      </w:numPr>
    </w:pPr>
    <w:rPr>
      <w:color w:val="4E81BD"/>
    </w:rPr>
  </w:style>
  <w:style w:type="paragraph" w:customStyle="1" w:styleId="Title3">
    <w:name w:val="Title 3"/>
    <w:basedOn w:val="Normal"/>
    <w:next w:val="Para0"/>
    <w:qFormat/>
    <w:pPr>
      <w:keepNext/>
      <w:keepLines/>
      <w:widowControl/>
      <w:tabs>
        <w:tab w:val="left" w:pos="850"/>
        <w:tab w:val="left" w:pos="1191"/>
        <w:tab w:val="left" w:pos="1531"/>
      </w:tabs>
      <w:spacing w:before="240" w:after="120"/>
      <w:ind w:left="680" w:right="680"/>
      <w:jc w:val="left"/>
      <w:outlineLvl w:val="2"/>
    </w:pPr>
    <w:rPr>
      <w:rFonts w:cstheme="majorBidi"/>
      <w:b/>
      <w:i/>
      <w:sz w:val="24"/>
    </w:rPr>
  </w:style>
  <w:style w:type="paragraph" w:customStyle="1" w:styleId="Abstract">
    <w:name w:val="Abstract"/>
    <w:basedOn w:val="Para0"/>
    <w:uiPriority w:val="2"/>
    <w:qFormat/>
    <w:pPr>
      <w:pBdr>
        <w:top w:val="single" w:sz="4" w:space="12" w:color="auto"/>
        <w:left w:val="single" w:sz="4" w:space="12" w:color="auto"/>
        <w:bottom w:val="single" w:sz="4" w:space="12" w:color="auto"/>
        <w:right w:val="single" w:sz="4" w:space="12" w:color="auto"/>
      </w:pBdr>
    </w:pPr>
    <w:rPr>
      <w:i/>
    </w:rPr>
  </w:style>
  <w:style w:type="paragraph" w:customStyle="1" w:styleId="Para">
    <w:name w:val="Para #"/>
    <w:basedOn w:val="Normal"/>
    <w:link w:val="ParaChar0"/>
    <w:uiPriority w:val="4"/>
    <w:qFormat/>
    <w:pPr>
      <w:widowControl/>
      <w:numPr>
        <w:numId w:val="60"/>
      </w:numPr>
      <w:tabs>
        <w:tab w:val="left" w:pos="1361"/>
      </w:tabs>
      <w:spacing w:before="120" w:after="120"/>
      <w:ind w:right="680"/>
    </w:pPr>
    <w:rPr>
      <w:rFonts w:eastAsia="SimSun"/>
    </w:rPr>
  </w:style>
  <w:style w:type="paragraph" w:customStyle="1" w:styleId="NumberedList">
    <w:name w:val="Numbered List"/>
    <w:basedOn w:val="ListParagraph"/>
    <w:uiPriority w:val="5"/>
    <w:qFormat/>
    <w:pPr>
      <w:widowControl/>
      <w:numPr>
        <w:numId w:val="62"/>
      </w:numPr>
      <w:spacing w:after="120"/>
      <w:ind w:right="680"/>
      <w:contextualSpacing w:val="0"/>
    </w:pPr>
    <w:rPr>
      <w:rFonts w:eastAsia="SimSun"/>
    </w:rPr>
  </w:style>
  <w:style w:type="paragraph" w:customStyle="1" w:styleId="BulletedList">
    <w:name w:val="Bulleted List"/>
    <w:basedOn w:val="ListParagraph"/>
    <w:uiPriority w:val="6"/>
    <w:qFormat/>
    <w:pPr>
      <w:widowControl/>
      <w:numPr>
        <w:numId w:val="61"/>
      </w:numPr>
      <w:spacing w:after="120"/>
      <w:ind w:right="680"/>
      <w:contextualSpacing w:val="0"/>
    </w:pPr>
    <w:rPr>
      <w:rFonts w:eastAsia="SimSun"/>
    </w:rPr>
  </w:style>
  <w:style w:type="paragraph" w:styleId="ListParagraph">
    <w:name w:val="List Paragraph"/>
    <w:basedOn w:val="Normal"/>
    <w:uiPriority w:val="34"/>
    <w:qFormat/>
    <w:pPr>
      <w:ind w:left="720"/>
      <w:contextualSpacing/>
    </w:pPr>
  </w:style>
  <w:style w:type="paragraph" w:customStyle="1" w:styleId="CaptionSubtitle">
    <w:name w:val="Caption Subtitle"/>
    <w:next w:val="Para0"/>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basedOn w:val="Normal"/>
    <w:next w:val="Para0"/>
    <w:uiPriority w:val="8"/>
    <w:qFormat/>
    <w:pPr>
      <w:keepNext/>
      <w:widowControl/>
      <w:tabs>
        <w:tab w:val="left" w:pos="850"/>
        <w:tab w:val="left" w:pos="1191"/>
        <w:tab w:val="left" w:pos="1531"/>
      </w:tabs>
      <w:spacing w:before="240" w:after="120"/>
      <w:ind w:left="680" w:right="680"/>
      <w:jc w:val="left"/>
    </w:pPr>
    <w:rPr>
      <w:b/>
      <w:sz w:val="20"/>
    </w:rPr>
  </w:style>
  <w:style w:type="paragraph" w:customStyle="1" w:styleId="Sourcenotes">
    <w:name w:val="Source &amp; notes"/>
    <w:basedOn w:val="Normal"/>
    <w:uiPriority w:val="9"/>
    <w:qFormat/>
    <w:pPr>
      <w:keepLines/>
      <w:widowControl/>
      <w:spacing w:before="120" w:after="240"/>
      <w:ind w:left="680" w:right="680"/>
      <w:contextualSpacing/>
    </w:pPr>
    <w:rPr>
      <w:rFonts w:eastAsia="SimSun" w:cs="Arial"/>
      <w:sz w:val="18"/>
      <w:szCs w:val="18"/>
    </w:rPr>
  </w:style>
  <w:style w:type="paragraph" w:customStyle="1" w:styleId="TableCell">
    <w:name w:val="Table Cell"/>
    <w:basedOn w:val="Normal"/>
    <w:uiPriority w:val="10"/>
    <w:qFormat/>
    <w:pPr>
      <w:keepNext/>
      <w:keepLines/>
      <w:widowControl/>
      <w:tabs>
        <w:tab w:val="left" w:pos="340"/>
        <w:tab w:val="left" w:pos="680"/>
      </w:tabs>
      <w:spacing w:before="20" w:after="20"/>
      <w:jc w:val="right"/>
    </w:pPr>
    <w:rPr>
      <w:rFonts w:ascii="Arial Narrow" w:eastAsia="SimSun" w:hAnsi="Arial Narrow" w:cs="Arial"/>
      <w:sz w:val="17"/>
      <w:szCs w:val="18"/>
    </w:rPr>
  </w:style>
  <w:style w:type="paragraph" w:customStyle="1" w:styleId="TableRow">
    <w:name w:val="Table Row"/>
    <w:basedOn w:val="TableCell"/>
    <w:uiPriority w:val="10"/>
    <w:qFormat/>
    <w:pPr>
      <w:jc w:val="left"/>
    </w:pPr>
  </w:style>
  <w:style w:type="paragraph" w:customStyle="1" w:styleId="TableColumn">
    <w:name w:val="Table Column"/>
    <w:basedOn w:val="TableRow"/>
    <w:uiPriority w:val="10"/>
    <w:qFormat/>
    <w:pPr>
      <w:jc w:val="center"/>
    </w:pPr>
  </w:style>
  <w:style w:type="paragraph" w:customStyle="1" w:styleId="Quotationshort">
    <w:name w:val="Quotation (short)"/>
    <w:basedOn w:val="Normal"/>
    <w:link w:val="QuotationshortChar"/>
    <w:uiPriority w:val="11"/>
    <w:qFormat/>
    <w:pPr>
      <w:widowControl/>
      <w:spacing w:after="120"/>
    </w:pPr>
    <w:rPr>
      <w:rFonts w:eastAsia="SimSun"/>
      <w:i/>
    </w:rPr>
  </w:style>
  <w:style w:type="paragraph" w:styleId="Quote">
    <w:name w:val="Quote"/>
    <w:aliases w:val="Quotation (long)"/>
    <w:basedOn w:val="Normal"/>
    <w:link w:val="QuoteChar"/>
    <w:uiPriority w:val="11"/>
    <w:qFormat/>
    <w:pPr>
      <w:widowControl/>
      <w:spacing w:after="120"/>
      <w:ind w:left="1021" w:right="1021"/>
    </w:pPr>
    <w:rPr>
      <w:rFonts w:eastAsia="SimSun"/>
      <w:i/>
      <w:iCs/>
      <w:color w:val="404040"/>
    </w:rPr>
  </w:style>
  <w:style w:type="character" w:customStyle="1" w:styleId="QuoteChar">
    <w:name w:val="Quote Char"/>
    <w:aliases w:val="Quotation (long) Char"/>
    <w:basedOn w:val="DefaultParagraphFont"/>
    <w:link w:val="Quote"/>
    <w:uiPriority w:val="11"/>
    <w:rPr>
      <w:rFonts w:eastAsia="SimSun"/>
      <w:i/>
      <w:iCs/>
      <w:color w:val="404040"/>
    </w:rPr>
  </w:style>
  <w:style w:type="paragraph" w:customStyle="1" w:styleId="AnnexH2">
    <w:name w:val="Annex H2"/>
    <w:basedOn w:val="Normal"/>
    <w:next w:val="Para0"/>
    <w:uiPriority w:val="15"/>
    <w:qFormat/>
    <w:pPr>
      <w:keepNext/>
      <w:widowControl/>
      <w:tabs>
        <w:tab w:val="left" w:pos="850"/>
        <w:tab w:val="left" w:pos="1191"/>
        <w:tab w:val="left" w:pos="1531"/>
      </w:tabs>
      <w:spacing w:before="240" w:after="240"/>
      <w:ind w:right="680"/>
      <w:jc w:val="left"/>
      <w:outlineLvl w:val="1"/>
    </w:pPr>
    <w:rPr>
      <w:b/>
      <w:color w:val="4E81BD"/>
      <w:sz w:val="24"/>
    </w:rPr>
  </w:style>
  <w:style w:type="paragraph" w:customStyle="1" w:styleId="AnnexH3">
    <w:name w:val="Annex H3"/>
    <w:basedOn w:val="Normal"/>
    <w:next w:val="Para0"/>
    <w:uiPriority w:val="15"/>
    <w:qFormat/>
    <w:pPr>
      <w:keepNext/>
      <w:keepLines/>
      <w:widowControl/>
      <w:tabs>
        <w:tab w:val="left" w:pos="850"/>
        <w:tab w:val="left" w:pos="1191"/>
        <w:tab w:val="left" w:pos="1531"/>
      </w:tabs>
      <w:spacing w:before="240" w:after="120"/>
      <w:ind w:left="680" w:right="680"/>
      <w:jc w:val="left"/>
      <w:outlineLvl w:val="2"/>
    </w:pPr>
    <w:rPr>
      <w:b/>
      <w:i/>
      <w:color w:val="262626"/>
      <w:sz w:val="24"/>
    </w:rPr>
  </w:style>
  <w:style w:type="paragraph" w:customStyle="1" w:styleId="Disclaimer">
    <w:name w:val="Disclaimer"/>
    <w:basedOn w:val="Para0"/>
    <w:pPr>
      <w:pBdr>
        <w:top w:val="single" w:sz="4" w:space="6" w:color="auto"/>
      </w:pBdr>
      <w:spacing w:before="0" w:line="220" w:lineRule="exact"/>
    </w:pPr>
    <w:rPr>
      <w:sz w:val="18"/>
    </w:rPr>
  </w:style>
  <w:style w:type="paragraph" w:customStyle="1" w:styleId="Action">
    <w:name w:val="Action"/>
    <w:basedOn w:val="Para0"/>
    <w:next w:val="Heading2"/>
    <w:rPr>
      <w:u w:val="single"/>
    </w:rPr>
  </w:style>
  <w:style w:type="paragraph" w:customStyle="1" w:styleId="Annotation">
    <w:name w:val="Annotation"/>
    <w:basedOn w:val="Normal"/>
    <w:pPr>
      <w:numPr>
        <w:numId w:val="1"/>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qFormat/>
    <w:pPr>
      <w:widowControl/>
      <w:spacing w:after="120"/>
      <w:ind w:left="284" w:hanging="284"/>
      <w:jc w:val="left"/>
    </w:pPr>
    <w:rPr>
      <w:rFonts w:eastAsia="SimSun"/>
    </w:rPr>
  </w:style>
  <w:style w:type="paragraph" w:customStyle="1" w:styleId="Break">
    <w:name w:val="Break"/>
    <w:basedOn w:val="Normal"/>
    <w:next w:val="Time"/>
    <w:pPr>
      <w:pBdr>
        <w:top w:val="single" w:sz="4" w:space="4" w:color="auto"/>
        <w:bottom w:val="single" w:sz="4" w:space="4" w:color="auto"/>
      </w:pBdr>
      <w:shd w:val="pct5" w:color="auto" w:fill="auto"/>
      <w:jc w:val="center"/>
    </w:pPr>
    <w:rPr>
      <w:i/>
    </w:rPr>
  </w:style>
  <w:style w:type="paragraph" w:customStyle="1" w:styleId="Time">
    <w:name w:val="Time"/>
    <w:basedOn w:val="Normal"/>
    <w:next w:val="Para0"/>
    <w:pPr>
      <w:keepNext/>
      <w:spacing w:before="240" w:after="120"/>
      <w:ind w:left="851"/>
    </w:pPr>
    <w:rPr>
      <w:b/>
      <w:i/>
    </w:rPr>
  </w:style>
  <w:style w:type="paragraph" w:customStyle="1" w:styleId="Conclusion">
    <w:name w:val="Conclusion"/>
    <w:basedOn w:val="Para0"/>
    <w:next w:val="Heading1"/>
    <w:pPr>
      <w:jc w:val="center"/>
    </w:pPr>
    <w:rPr>
      <w:b/>
    </w:rPr>
  </w:style>
  <w:style w:type="character" w:styleId="EndnoteReference">
    <w:name w:val="endnote reference"/>
    <w:basedOn w:val="DefaultParagraphFont"/>
    <w:uiPriority w:val="99"/>
    <w:unhideWhenUsed/>
    <w:qFormat/>
    <w:rPr>
      <w:rFonts w:ascii="Times New Roman" w:hAnsi="Times New Roman"/>
      <w:i w:val="0"/>
      <w:position w:val="0"/>
      <w:sz w:val="22"/>
      <w:vertAlign w:val="superscript"/>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
    <w:basedOn w:val="Normal"/>
    <w:link w:val="FootnoteTextChar"/>
    <w:uiPriority w:val="99"/>
    <w:unhideWhenUsed/>
    <w:qFormat/>
    <w:pPr>
      <w:widowControl/>
      <w:spacing w:after="120"/>
      <w:ind w:left="680" w:right="680"/>
    </w:pPr>
    <w:rPr>
      <w:rFonts w:eastAsia="SimSun"/>
      <w:sz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 Char"/>
    <w:basedOn w:val="DefaultParagraphFont"/>
    <w:link w:val="FootnoteText"/>
    <w:uiPriority w:val="99"/>
    <w:rPr>
      <w:rFonts w:eastAsia="SimSun"/>
      <w:sz w:val="20"/>
    </w:rPr>
  </w:style>
  <w:style w:type="paragraph" w:styleId="EndnoteText">
    <w:name w:val="endnote text"/>
    <w:basedOn w:val="FootnoteText"/>
    <w:link w:val="EndnoteTextChar"/>
    <w:uiPriority w:val="99"/>
    <w:unhideWhenUsed/>
    <w:qFormat/>
  </w:style>
  <w:style w:type="character" w:customStyle="1" w:styleId="EndnoteTextChar">
    <w:name w:val="Endnote Text Char"/>
    <w:basedOn w:val="DefaultParagraphFont"/>
    <w:link w:val="EndnoteText"/>
    <w:uiPriority w:val="99"/>
    <w:rPr>
      <w:rFonts w:eastAsia="SimSun"/>
      <w:sz w:val="20"/>
    </w:rPr>
  </w:style>
  <w:style w:type="paragraph" w:customStyle="1" w:styleId="Figure">
    <w:name w:val="Figure"/>
    <w:basedOn w:val="Normal"/>
    <w:pPr>
      <w:jc w:val="center"/>
    </w:pPr>
  </w:style>
  <w:style w:type="paragraph" w:styleId="Footer">
    <w:name w:val="footer"/>
    <w:basedOn w:val="Normal"/>
    <w:link w:val="FooterChar"/>
    <w:uiPriority w:val="99"/>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Pr>
      <w:caps/>
      <w:sz w:val="16"/>
    </w:rPr>
  </w:style>
  <w:style w:type="paragraph" w:customStyle="1" w:styleId="Para1">
    <w:name w:val="Para #.#"/>
    <w:basedOn w:val="Para"/>
    <w:uiPriority w:val="4"/>
  </w:style>
  <w:style w:type="paragraph" w:customStyle="1" w:styleId="CoverNormal">
    <w:name w:val="CoverNormal"/>
    <w:basedOn w:val="Normal"/>
    <w:link w:val="CoverNormalChar"/>
    <w:pPr>
      <w:jc w:val="left"/>
    </w:pPr>
    <w:rPr>
      <w:rFonts w:asciiTheme="majorHAnsi" w:hAnsiTheme="majorHAnsi"/>
    </w:rPr>
  </w:style>
  <w:style w:type="paragraph" w:customStyle="1" w:styleId="CoverAbstract">
    <w:name w:val="CoverAbstract"/>
    <w:basedOn w:val="CoverNormal"/>
    <w:semiHidden/>
  </w:style>
  <w:style w:type="paragraph" w:customStyle="1" w:styleId="CoverCancel">
    <w:name w:val="CoverCancel"/>
    <w:basedOn w:val="CoverNormal"/>
    <w:link w:val="CoverCancelChar"/>
    <w:pPr>
      <w:spacing w:before="240" w:after="120" w:line="312" w:lineRule="auto"/>
      <w:jc w:val="center"/>
    </w:pPr>
    <w:rPr>
      <w:b/>
    </w:rPr>
  </w:style>
  <w:style w:type="paragraph" w:customStyle="1" w:styleId="CoverClassification">
    <w:name w:val="CoverClassification"/>
    <w:basedOn w:val="CoverNormal"/>
    <w:rPr>
      <w:b/>
    </w:rPr>
  </w:style>
  <w:style w:type="paragraph" w:customStyle="1" w:styleId="CoverCommittee">
    <w:name w:val="CoverCommittee"/>
    <w:basedOn w:val="CoverNormal"/>
    <w:rPr>
      <w:b/>
    </w:rPr>
  </w:style>
  <w:style w:type="character" w:customStyle="1" w:styleId="CoverCote">
    <w:name w:val="CoverCote"/>
    <w:basedOn w:val="DefaultParagraphFont"/>
    <w:uiPriority w:val="1"/>
    <w:rPr>
      <w:rFonts w:asciiTheme="majorHAnsi" w:hAnsiTheme="majorHAnsi"/>
      <w:b/>
      <w:caps/>
      <w:smallCaps w:val="0"/>
      <w:sz w:val="22"/>
    </w:rPr>
  </w:style>
  <w:style w:type="paragraph" w:customStyle="1" w:styleId="CoverDate">
    <w:name w:val="CoverDate"/>
    <w:basedOn w:val="CoverNormal"/>
    <w:link w:val="CoverDateChar"/>
    <w:pPr>
      <w:spacing w:before="40" w:after="40"/>
      <w:jc w:val="right"/>
    </w:pPr>
    <w:rPr>
      <w:b/>
      <w:sz w:val="18"/>
    </w:rPr>
  </w:style>
  <w:style w:type="paragraph" w:customStyle="1" w:styleId="CoverDisclaimer">
    <w:name w:val="CoverDisclaimer"/>
    <w:basedOn w:val="CoverNormal"/>
    <w:pPr>
      <w:spacing w:line="312" w:lineRule="auto"/>
      <w:jc w:val="both"/>
    </w:pPr>
    <w:rPr>
      <w:b/>
      <w:i/>
      <w:sz w:val="16"/>
    </w:rPr>
  </w:style>
  <w:style w:type="paragraph" w:customStyle="1" w:styleId="CoverInformation">
    <w:name w:val="CoverInformation"/>
    <w:basedOn w:val="CoverNormal"/>
  </w:style>
  <w:style w:type="paragraph" w:customStyle="1" w:styleId="CoverJobTicket">
    <w:name w:val="CoverJobTicket"/>
    <w:basedOn w:val="CoverNormal"/>
    <w:rPr>
      <w:b/>
    </w:rPr>
  </w:style>
  <w:style w:type="paragraph" w:customStyle="1" w:styleId="CoverLanguage">
    <w:name w:val="CoverLanguage"/>
    <w:basedOn w:val="CoverNormal"/>
    <w:pPr>
      <w:jc w:val="right"/>
    </w:pPr>
    <w:rPr>
      <w:b/>
    </w:rPr>
  </w:style>
  <w:style w:type="paragraph" w:customStyle="1" w:styleId="CoverPwbCode">
    <w:name w:val="CoverPwbCode"/>
    <w:basedOn w:val="CoverNormal"/>
    <w:pPr>
      <w:spacing w:after="120"/>
    </w:pPr>
    <w:rPr>
      <w:b/>
    </w:rPr>
  </w:style>
  <w:style w:type="paragraph" w:customStyle="1" w:styleId="CoverSeriesTitlePublication">
    <w:name w:val="CoverSeriesTitlePublication"/>
    <w:basedOn w:val="CoverNormal"/>
    <w:pPr>
      <w:spacing w:after="40"/>
    </w:pPr>
    <w:rPr>
      <w:sz w:val="32"/>
    </w:rPr>
  </w:style>
  <w:style w:type="paragraph" w:customStyle="1" w:styleId="CoverSubTitle">
    <w:name w:val="CoverSubTitle"/>
    <w:basedOn w:val="CoverNormal"/>
    <w:link w:val="CoverSubTitleChar"/>
    <w:rPr>
      <w:b/>
    </w:rPr>
  </w:style>
  <w:style w:type="paragraph" w:customStyle="1" w:styleId="CoverSubtitlePublication">
    <w:name w:val="CoverSubtitlePublication"/>
    <w:basedOn w:val="CoverNormal"/>
    <w:pPr>
      <w:jc w:val="center"/>
    </w:pPr>
    <w:rPr>
      <w:sz w:val="40"/>
    </w:rPr>
  </w:style>
  <w:style w:type="character" w:customStyle="1" w:styleId="CoverTable">
    <w:name w:val="CoverTable"/>
    <w:uiPriority w:val="1"/>
    <w:semiHidden/>
  </w:style>
  <w:style w:type="paragraph" w:customStyle="1" w:styleId="CoverTitle">
    <w:name w:val="CoverTitle"/>
    <w:basedOn w:val="CoverNormal"/>
    <w:link w:val="CoverTitleChar"/>
    <w:pPr>
      <w:spacing w:after="240"/>
    </w:pPr>
    <w:rPr>
      <w:b/>
      <w:sz w:val="24"/>
    </w:rPr>
  </w:style>
  <w:style w:type="paragraph" w:customStyle="1" w:styleId="CoverTitlePublication">
    <w:name w:val="CoverTitlePublication"/>
    <w:basedOn w:val="CoverNormal"/>
    <w:pPr>
      <w:jc w:val="center"/>
    </w:pPr>
    <w:rPr>
      <w:b/>
      <w:sz w:val="52"/>
    </w:rPr>
  </w:style>
  <w:style w:type="paragraph" w:customStyle="1" w:styleId="CoverWorkingParty">
    <w:name w:val="CoverWorkingParty"/>
    <w:basedOn w:val="CoverNormal"/>
    <w:rPr>
      <w:b/>
      <w:sz w:val="24"/>
    </w:rPr>
  </w:style>
  <w:style w:type="paragraph" w:customStyle="1" w:styleId="FooterClassification">
    <w:name w:val="Footer Classification"/>
    <w:basedOn w:val="Normal"/>
    <w:pPr>
      <w:jc w:val="right"/>
    </w:pPr>
    <w:rPr>
      <w:sz w:val="16"/>
    </w:rPr>
  </w:style>
  <w:style w:type="character" w:styleId="FootnoteReference">
    <w:name w:val="footnote reference"/>
    <w:aliases w:val="Footnote symbol,Знак сноски-FN,callout,Rimando notaOreste,Rimando notaOreste1,Rimando notaOreste2,nota a piè di pagina,(Footnote Reference),SUPERS,EN Footnote Reference,Footnote reference number,note TESI,Footnote number,fr,o,Footnote"/>
    <w:basedOn w:val="DefaultParagraphFont"/>
    <w:uiPriority w:val="99"/>
    <w:unhideWhenUsed/>
    <w:qFormat/>
    <w:rPr>
      <w:rFonts w:ascii="Times New Roman" w:hAnsi="Times New Roman"/>
      <w:i w:val="0"/>
      <w:position w:val="0"/>
      <w:sz w:val="22"/>
      <w:vertAlign w:val="superscript"/>
    </w:rPr>
  </w:style>
  <w:style w:type="paragraph" w:customStyle="1" w:styleId="GroupHeading">
    <w:name w:val="Group Heading"/>
    <w:basedOn w:val="Normal"/>
    <w:next w:val="Para0"/>
    <w:pPr>
      <w:keepNext/>
      <w:numPr>
        <w:numId w:val="2"/>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rPr>
  </w:style>
  <w:style w:type="character" w:customStyle="1" w:styleId="HeaderCoteChar">
    <w:name w:val="Header Cote (Char)"/>
    <w:basedOn w:val="DefaultParagraphFont"/>
    <w:uiPriority w:val="1"/>
    <w:semiHidden/>
    <w:rPr>
      <w:rFonts w:ascii="Times New Roman" w:hAnsi="Times New Roman"/>
      <w:sz w:val="22"/>
    </w:rPr>
  </w:style>
  <w:style w:type="paragraph" w:customStyle="1" w:styleId="HeaderOdd">
    <w:name w:val="Header Odd"/>
    <w:basedOn w:val="Normal"/>
    <w:next w:val="Normal"/>
    <w:pPr>
      <w:pBdr>
        <w:bottom w:val="single" w:sz="4" w:space="0" w:color="auto"/>
      </w:pBdr>
      <w:jc w:val="right"/>
    </w:pPr>
    <w:rPr>
      <w:sz w:val="2"/>
    </w:rPr>
  </w:style>
  <w:style w:type="paragraph" w:customStyle="1" w:styleId="HeaderEven">
    <w:name w:val="Header Even"/>
    <w:basedOn w:val="HeaderOdd"/>
    <w:pPr>
      <w:jc w:val="left"/>
    </w:pPr>
  </w:style>
  <w:style w:type="character" w:customStyle="1" w:styleId="HeaderTitle">
    <w:name w:val="Header Title"/>
    <w:uiPriority w:val="1"/>
    <w:rPr>
      <w:rFonts w:asciiTheme="minorHAnsi" w:hAnsiTheme="minorHAnsi"/>
      <w:caps/>
      <w:smallCaps w:val="0"/>
      <w:sz w:val="18"/>
    </w:rPr>
  </w:style>
  <w:style w:type="paragraph" w:customStyle="1" w:styleId="ImportantInformation">
    <w:name w:val="Important Information"/>
    <w:basedOn w:val="Para0"/>
    <w:pPr>
      <w:spacing w:after="480"/>
      <w:ind w:left="284" w:right="284"/>
      <w:jc w:val="center"/>
    </w:pPr>
  </w:style>
  <w:style w:type="paragraph" w:customStyle="1" w:styleId="Notes">
    <w:name w:val="Notes"/>
    <w:basedOn w:val="Normal"/>
    <w:pPr>
      <w:keepNext/>
      <w:keepLines/>
      <w:spacing w:before="120"/>
      <w:ind w:left="680" w:right="680"/>
      <w:contextualSpacing/>
    </w:pPr>
    <w:rPr>
      <w:sz w:val="18"/>
    </w:rPr>
  </w:style>
  <w:style w:type="character" w:styleId="PageNumber">
    <w:name w:val="page number"/>
    <w:basedOn w:val="DefaultParagraphFont"/>
    <w:uiPriority w:val="99"/>
    <w:rPr>
      <w:rFonts w:asciiTheme="minorHAnsi" w:hAnsiTheme="minorHAnsi"/>
      <w:b/>
      <w:sz w:val="22"/>
    </w:rPr>
  </w:style>
  <w:style w:type="paragraph" w:customStyle="1" w:styleId="ProposedAction">
    <w:name w:val="Proposed Action"/>
    <w:basedOn w:val="Para0"/>
    <w:pPr>
      <w:numPr>
        <w:numId w:val="3"/>
      </w:numPr>
      <w:tabs>
        <w:tab w:val="num" w:pos="360"/>
        <w:tab w:val="left" w:pos="425"/>
      </w:tabs>
      <w:spacing w:before="0" w:after="240"/>
      <w:ind w:left="2268" w:hanging="425"/>
    </w:pPr>
  </w:style>
  <w:style w:type="paragraph" w:customStyle="1" w:styleId="RefDocuments">
    <w:name w:val="Ref Documents"/>
    <w:basedOn w:val="Para0"/>
    <w:next w:val="Annotation"/>
    <w:pPr>
      <w:ind w:left="7371"/>
      <w:contextualSpacing/>
    </w:pPr>
  </w:style>
  <w:style w:type="paragraph" w:customStyle="1" w:styleId="Session">
    <w:name w:val="Session"/>
    <w:basedOn w:val="Normal"/>
    <w:next w:val="Time"/>
    <w:pPr>
      <w:keepNext/>
      <w:spacing w:after="240"/>
      <w:jc w:val="left"/>
    </w:pPr>
    <w:rPr>
      <w:i/>
      <w:u w:val="single"/>
    </w:rPr>
  </w:style>
  <w:style w:type="paragraph" w:customStyle="1" w:styleId="SpecialItem">
    <w:name w:val="Special Item"/>
    <w:basedOn w:val="Normal"/>
    <w:next w:val="Time"/>
    <w:pPr>
      <w:spacing w:before="240" w:after="240"/>
    </w:pPr>
    <w:rPr>
      <w:i/>
    </w:rPr>
  </w:style>
  <w:style w:type="character" w:customStyle="1" w:styleId="StatLinkDOI">
    <w:name w:val="StatLink DOI"/>
    <w:basedOn w:val="DefaultParagraphFont"/>
    <w:uiPriority w:val="1"/>
    <w:rPr>
      <w:rFonts w:asciiTheme="majorHAnsi" w:hAnsiTheme="majorHAnsi"/>
      <w:sz w:val="18"/>
    </w:rPr>
  </w:style>
  <w:style w:type="paragraph" w:customStyle="1" w:styleId="StatLinkLogo">
    <w:name w:val="StatLink Logo"/>
    <w:basedOn w:val="Para0"/>
    <w:next w:val="Para0"/>
    <w:pPr>
      <w:spacing w:before="0" w:after="240"/>
      <w:jc w:val="right"/>
    </w:pPr>
    <w:rPr>
      <w:rFonts w:ascii="StatLink" w:hAnsi="StatLink"/>
      <w:sz w:val="18"/>
    </w:rPr>
  </w:style>
  <w:style w:type="paragraph" w:styleId="TableofFigures">
    <w:name w:val="table of figures"/>
    <w:next w:val="Normal"/>
    <w:uiPriority w:val="40"/>
    <w:pPr>
      <w:tabs>
        <w:tab w:val="right" w:pos="9072"/>
      </w:tabs>
      <w:spacing w:line="220" w:lineRule="exact"/>
      <w:ind w:right="510"/>
    </w:pPr>
    <w:rPr>
      <w:color w:val="000000" w:themeColor="text1"/>
      <w:sz w:val="18"/>
    </w:rPr>
  </w:style>
  <w:style w:type="paragraph" w:styleId="TOC1">
    <w:name w:val="toc 1"/>
    <w:basedOn w:val="Normal"/>
    <w:next w:val="Normal"/>
    <w:uiPriority w:val="39"/>
    <w:unhideWhenUsed/>
    <w:qFormat/>
    <w:pPr>
      <w:widowControl/>
      <w:tabs>
        <w:tab w:val="right" w:leader="dot" w:pos="9072"/>
      </w:tabs>
      <w:spacing w:before="120" w:after="120"/>
      <w:ind w:right="510"/>
      <w:jc w:val="left"/>
    </w:pPr>
    <w:rPr>
      <w:b/>
      <w:noProof/>
      <w:sz w:val="20"/>
    </w:rPr>
  </w:style>
  <w:style w:type="paragraph" w:styleId="TOC2">
    <w:name w:val="toc 2"/>
    <w:basedOn w:val="Normal"/>
    <w:next w:val="Normal"/>
    <w:uiPriority w:val="39"/>
    <w:unhideWhenUsed/>
    <w:qFormat/>
    <w:pPr>
      <w:widowControl/>
      <w:tabs>
        <w:tab w:val="right" w:leader="dot" w:pos="9072"/>
      </w:tabs>
      <w:ind w:left="198" w:right="510"/>
      <w:jc w:val="left"/>
    </w:pPr>
    <w:rPr>
      <w:noProof/>
      <w:sz w:val="20"/>
    </w:rPr>
  </w:style>
  <w:style w:type="paragraph" w:styleId="TOC3">
    <w:name w:val="toc 3"/>
    <w:basedOn w:val="Normal"/>
    <w:next w:val="Normal"/>
    <w:uiPriority w:val="39"/>
    <w:unhideWhenUsed/>
    <w:qFormat/>
    <w:pPr>
      <w:widowControl/>
      <w:tabs>
        <w:tab w:val="right" w:leader="dot" w:pos="9072"/>
      </w:tabs>
      <w:ind w:left="397" w:right="510"/>
      <w:jc w:val="left"/>
    </w:pPr>
    <w:rPr>
      <w:noProof/>
      <w:sz w:val="20"/>
    </w:rPr>
  </w:style>
  <w:style w:type="paragraph" w:styleId="TOC4">
    <w:name w:val="toc 4"/>
    <w:basedOn w:val="Normal"/>
    <w:next w:val="Normal"/>
    <w:uiPriority w:val="39"/>
    <w:unhideWhenUsed/>
    <w:pPr>
      <w:tabs>
        <w:tab w:val="right" w:leader="dot" w:pos="9072"/>
      </w:tabs>
      <w:ind w:left="595" w:right="510"/>
      <w:jc w:val="left"/>
    </w:pPr>
  </w:style>
  <w:style w:type="paragraph" w:styleId="TOC5">
    <w:name w:val="toc 5"/>
    <w:aliases w:val="Annotated Item"/>
    <w:basedOn w:val="Normal"/>
    <w:next w:val="Normal"/>
    <w:uiPriority w:val="39"/>
    <w:semiHidden/>
    <w:unhideWhenUsed/>
    <w:pPr>
      <w:keepNext/>
      <w:spacing w:after="120"/>
    </w:pPr>
    <w:rPr>
      <w:b/>
      <w:color w:val="4E81BD"/>
    </w:rPr>
  </w:style>
  <w:style w:type="paragraph" w:styleId="TOCHeading">
    <w:name w:val="TOC Heading"/>
    <w:basedOn w:val="Heading1"/>
    <w:next w:val="Normal"/>
    <w:uiPriority w:val="39"/>
    <w:unhideWhenUsed/>
    <w:qFormat/>
    <w:pPr>
      <w:numPr>
        <w:numId w:val="0"/>
      </w:numPr>
      <w:tabs>
        <w:tab w:val="clear" w:pos="850"/>
        <w:tab w:val="clear" w:pos="1191"/>
        <w:tab w:val="clear" w:pos="1531"/>
      </w:tabs>
      <w:spacing w:line="276" w:lineRule="auto"/>
      <w:ind w:right="680"/>
      <w:outlineLvl w:val="9"/>
    </w:pPr>
    <w:rPr>
      <w:rFonts w:eastAsia="SimHei"/>
      <w:b w:val="0"/>
      <w:bCs w:val="0"/>
      <w:i/>
      <w:kern w:val="0"/>
      <w:sz w:val="32"/>
    </w:rPr>
  </w:style>
  <w:style w:type="paragraph" w:styleId="Subtitle">
    <w:name w:val="Subtitle"/>
    <w:next w:val="Para0"/>
    <w:link w:val="SubtitleChar"/>
    <w:uiPriority w:val="11"/>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Pr>
      <w:color w:val="808080"/>
    </w:rPr>
  </w:style>
  <w:style w:type="paragraph" w:customStyle="1" w:styleId="CoverDirectorate">
    <w:name w:val="CoverDirectorate"/>
    <w:basedOn w:val="CoverNormal"/>
    <w:link w:val="CoverDirectorateChar"/>
    <w:rPr>
      <w: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Pr>
      <w:rFonts w:asciiTheme="majorHAnsi" w:hAnsiTheme="majorHAnsi"/>
    </w:rPr>
  </w:style>
  <w:style w:type="character" w:customStyle="1" w:styleId="CoverSubTitleChar">
    <w:name w:val="CoverSubTitle Char"/>
    <w:basedOn w:val="DefaultParagraphFont"/>
    <w:link w:val="CoverSubTitle"/>
    <w:rPr>
      <w:rFonts w:ascii="Times New Roman" w:hAnsi="Times New Roman"/>
      <w:b/>
    </w:rPr>
  </w:style>
  <w:style w:type="character" w:customStyle="1" w:styleId="CoverTitleChar">
    <w:name w:val="CoverTitle Char"/>
    <w:basedOn w:val="DefaultParagraphFont"/>
    <w:link w:val="CoverTitle"/>
    <w:rPr>
      <w:rFonts w:ascii="Times New Roman" w:hAnsi="Times New Roman"/>
      <w:b/>
      <w:sz w:val="24"/>
    </w:rPr>
  </w:style>
  <w:style w:type="character" w:customStyle="1" w:styleId="CoverCancelChar">
    <w:name w:val="CoverCancel Char"/>
    <w:basedOn w:val="DefaultParagraphFont"/>
    <w:link w:val="CoverCancel"/>
    <w:rPr>
      <w:rFonts w:ascii="Times New Roman" w:hAnsi="Times New Roman"/>
      <w:b/>
    </w:rPr>
  </w:style>
  <w:style w:type="character" w:customStyle="1" w:styleId="CoverDirectorateChar">
    <w:name w:val="CoverDirectorate Char"/>
    <w:basedOn w:val="CoverNormalChar"/>
    <w:link w:val="CoverDirectorate"/>
    <w:rPr>
      <w:rFonts w:ascii="Times New Roman" w:hAnsi="Times New Roman"/>
      <w:b/>
    </w:rPr>
  </w:style>
  <w:style w:type="character" w:customStyle="1" w:styleId="CoverDateChar">
    <w:name w:val="CoverDate Char"/>
    <w:basedOn w:val="CoverNormalChar"/>
    <w:link w:val="CoverDate"/>
    <w:rPr>
      <w:rFonts w:ascii="Times New Roman" w:hAnsi="Times New Roman"/>
      <w:b/>
      <w:sz w:val="18"/>
    </w:rPr>
  </w:style>
  <w:style w:type="character" w:styleId="Hyperlink">
    <w:name w:val="Hyperlink"/>
    <w:basedOn w:val="DefaultParagraphFont"/>
    <w:uiPriority w:val="99"/>
    <w:unhideWhenUsed/>
    <w:rPr>
      <w:color w:val="0000FF" w:themeColor="hyperlink"/>
      <w:u w:val="single"/>
    </w:rPr>
  </w:style>
  <w:style w:type="table" w:customStyle="1" w:styleId="OECDOld">
    <w:name w:val="OECD Old"/>
    <w:basedOn w:val="LightShading-Accent1"/>
    <w:uiPriority w:val="99"/>
    <w:rPr>
      <w:rFonts w:ascii="Georgia" w:eastAsia="Times New Roman" w:hAnsi="Georgia"/>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pPr>
      <w:spacing w:before="240" w:after="240" w:line="320" w:lineRule="exact"/>
      <w:jc w:val="both"/>
    </w:pPr>
    <w:rPr>
      <w:rFonts w:asciiTheme="majorHAnsi" w:hAnsiTheme="majorHAnsi"/>
      <w:color w:val="4E81BD" w:themeColor="accent1"/>
      <w:sz w:val="24"/>
    </w:rPr>
  </w:style>
  <w:style w:type="paragraph" w:customStyle="1" w:styleId="InBriefOpener">
    <w:name w:val="InBrief Opener"/>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pPr>
      <w:spacing w:before="180" w:after="120"/>
    </w:pPr>
    <w:rPr>
      <w:rFonts w:asciiTheme="majorHAnsi" w:hAnsiTheme="majorHAnsi"/>
      <w:b/>
      <w:i/>
      <w:color w:val="000000" w:themeColor="text1"/>
    </w:rPr>
  </w:style>
  <w:style w:type="table" w:customStyle="1" w:styleId="OECD">
    <w:name w:val="OECD"/>
    <w:basedOn w:val="TableSimple1"/>
    <w:uiPriority w:val="99"/>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pPr>
      <w:outlineLvl w:val="2"/>
    </w:pPr>
  </w:style>
  <w:style w:type="paragraph" w:styleId="TOAHeading">
    <w:name w:val="toa heading"/>
    <w:basedOn w:val="Normal"/>
    <w:next w:val="Normal"/>
    <w:uiPriority w:val="99"/>
    <w:unhideWhenUsed/>
    <w:qFormat/>
    <w:pPr>
      <w:widowControl/>
      <w:spacing w:before="120"/>
    </w:pPr>
    <w:rPr>
      <w:rFonts w:ascii="Arial" w:eastAsia="SimSun" w:hAnsi="Arial" w:cs="Arial"/>
      <w:b/>
      <w:bCs/>
      <w:sz w:val="24"/>
      <w:szCs w:val="24"/>
    </w:rPr>
  </w:style>
  <w:style w:type="character" w:customStyle="1" w:styleId="QuotationshortChar">
    <w:name w:val="Quotation (short) Char"/>
    <w:basedOn w:val="DefaultParagraphFont"/>
    <w:link w:val="Quotationshort"/>
    <w:uiPriority w:val="11"/>
    <w:rPr>
      <w:rFonts w:eastAsia="SimSun"/>
      <w:i/>
    </w:rPr>
  </w:style>
  <w:style w:type="character" w:customStyle="1" w:styleId="ParaChar0">
    <w:name w:val="Para # Char"/>
    <w:basedOn w:val="DefaultParagraphFont"/>
    <w:link w:val="Para"/>
    <w:uiPriority w:val="4"/>
    <w:rPr>
      <w:rFonts w:eastAsia="SimSun"/>
    </w:rPr>
  </w:style>
  <w:style w:type="paragraph" w:styleId="NormalWeb">
    <w:name w:val="Normal (Web)"/>
    <w:basedOn w:val="Normal"/>
    <w:uiPriority w:val="99"/>
    <w:unhideWhenUsed/>
    <w:pPr>
      <w:widowControl/>
      <w:spacing w:before="100" w:beforeAutospacing="1" w:after="100" w:afterAutospacing="1"/>
      <w:jc w:val="left"/>
    </w:pPr>
    <w:rPr>
      <w:rFonts w:eastAsia="Times New Roman"/>
      <w:sz w:val="24"/>
      <w:szCs w:val="24"/>
      <w:lang w:val="en-HK" w:eastAsia="zh-TW"/>
    </w:rPr>
  </w:style>
  <w:style w:type="paragraph" w:styleId="BalloonText">
    <w:name w:val="Balloon Text"/>
    <w:basedOn w:val="Normal"/>
    <w:link w:val="BalloonTextChar"/>
    <w:uiPriority w:val="99"/>
    <w:semiHidden/>
    <w:unhideWhenUse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jc w:val="left"/>
    </w:pPr>
  </w:style>
  <w:style w:type="character" w:customStyle="1" w:styleId="CommentTextChar">
    <w:name w:val="Comment Text Char"/>
    <w:basedOn w:val="DefaultParagraphFont"/>
    <w:link w:val="CommentText"/>
    <w:uiPriority w:val="99"/>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rPr>
  </w:style>
  <w:style w:type="paragraph" w:styleId="PlainText">
    <w:name w:val="Plain Text"/>
    <w:basedOn w:val="Normal"/>
    <w:link w:val="PlainTextChar"/>
    <w:uiPriority w:val="99"/>
    <w:unhideWhenUsed/>
    <w:pPr>
      <w:widowControl/>
      <w:jc w:val="left"/>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bsendedaten">
    <w:name w:val="Absendedaten"/>
    <w:basedOn w:val="NoSpacing"/>
    <w:uiPriority w:val="49"/>
    <w:pPr>
      <w:spacing w:line="240" w:lineRule="exact"/>
    </w:pPr>
    <w:rPr>
      <w:sz w:val="18"/>
      <w:szCs w:val="16"/>
    </w:rPr>
  </w:style>
  <w:style w:type="paragraph" w:styleId="NoSpacing">
    <w:name w:val="No Spacing"/>
    <w:basedOn w:val="Normal"/>
    <w:link w:val="NoSpacingChar"/>
    <w:pPr>
      <w:widowControl/>
      <w:suppressAutoHyphens/>
      <w:spacing w:line="300" w:lineRule="auto"/>
      <w:jc w:val="left"/>
    </w:pPr>
    <w:rPr>
      <w:sz w:val="24"/>
      <w:szCs w:val="24"/>
    </w:rPr>
  </w:style>
  <w:style w:type="paragraph" w:customStyle="1" w:styleId="ProgrammWannWas">
    <w:name w:val="Programm Wann Was"/>
    <w:aliases w:val="P-Wann-Was"/>
    <w:basedOn w:val="Normal"/>
    <w:uiPriority w:val="23"/>
    <w:pPr>
      <w:widowControl/>
      <w:suppressAutoHyphens/>
      <w:spacing w:after="360" w:line="300" w:lineRule="auto"/>
      <w:ind w:left="1888" w:hanging="1888"/>
      <w:jc w:val="left"/>
    </w:pPr>
    <w:rPr>
      <w:rFonts w:eastAsia="Times New Roman"/>
      <w:sz w:val="24"/>
      <w:lang w:eastAsia="de-AT"/>
    </w:rPr>
  </w:style>
  <w:style w:type="character" w:styleId="Strong">
    <w:name w:val="Strong"/>
    <w:uiPriority w:val="1"/>
    <w:rPr>
      <w:b/>
      <w:bCs/>
    </w:rPr>
  </w:style>
  <w:style w:type="paragraph" w:styleId="IntenseQuote">
    <w:name w:val="Intense Quote"/>
    <w:basedOn w:val="Normal"/>
    <w:next w:val="Normal"/>
    <w:link w:val="IntenseQuoteChar"/>
    <w:uiPriority w:val="30"/>
    <w:pPr>
      <w:widowControl/>
      <w:pBdr>
        <w:top w:val="single" w:sz="4" w:space="10" w:color="4E81BD" w:themeColor="accent1"/>
        <w:left w:val="single" w:sz="4" w:space="10" w:color="4E81BD" w:themeColor="accent1"/>
      </w:pBdr>
      <w:suppressAutoHyphens/>
      <w:spacing w:line="300" w:lineRule="auto"/>
      <w:ind w:left="1296" w:right="1152"/>
    </w:pPr>
    <w:rPr>
      <w:i/>
      <w:iCs/>
      <w:sz w:val="24"/>
      <w:szCs w:val="24"/>
    </w:rPr>
  </w:style>
  <w:style w:type="character" w:customStyle="1" w:styleId="IntenseQuoteChar">
    <w:name w:val="Intense Quote Char"/>
    <w:basedOn w:val="DefaultParagraphFont"/>
    <w:link w:val="IntenseQuote"/>
    <w:uiPriority w:val="30"/>
    <w:rPr>
      <w:i/>
      <w:iCs/>
      <w:sz w:val="24"/>
      <w:szCs w:val="24"/>
    </w:rPr>
  </w:style>
  <w:style w:type="character" w:styleId="IntenseEmphasis">
    <w:name w:val="Intense Emphasis"/>
    <w:uiPriority w:val="21"/>
    <w:rPr>
      <w:b/>
      <w:bCs/>
      <w:caps/>
      <w:smallCaps w:val="0"/>
      <w:color w:val="3F3F3F" w:themeColor="text2"/>
      <w:spacing w:val="0"/>
    </w:rPr>
  </w:style>
  <w:style w:type="paragraph" w:customStyle="1" w:styleId="KennZ">
    <w:name w:val="KennZ"/>
    <w:basedOn w:val="GZ"/>
    <w:uiPriority w:val="49"/>
    <w:semiHidden/>
  </w:style>
  <w:style w:type="character" w:styleId="IntenseReference">
    <w:name w:val="Intense Reference"/>
    <w:uiPriority w:val="32"/>
    <w:semiHidden/>
    <w:rPr>
      <w:b/>
      <w:bCs/>
      <w:i/>
      <w:iCs/>
      <w:caps/>
      <w:color w:val="4E81BD" w:themeColor="accent1"/>
    </w:rPr>
  </w:style>
  <w:style w:type="paragraph" w:customStyle="1" w:styleId="PersonalName">
    <w:name w:val="Personal Name"/>
    <w:basedOn w:val="Normal"/>
    <w:uiPriority w:val="99"/>
    <w:semiHidden/>
    <w:pPr>
      <w:widowControl/>
      <w:suppressAutoHyphens/>
      <w:spacing w:before="720" w:after="360" w:line="300" w:lineRule="auto"/>
      <w:jc w:val="left"/>
    </w:pPr>
    <w:rPr>
      <w:b/>
      <w:color w:val="000000"/>
      <w:spacing w:val="10"/>
      <w:kern w:val="28"/>
      <w:sz w:val="28"/>
      <w:szCs w:val="28"/>
    </w:rPr>
  </w:style>
  <w:style w:type="character" w:customStyle="1" w:styleId="NoSpacingChar">
    <w:name w:val="No Spacing Char"/>
    <w:basedOn w:val="DefaultParagraphFont"/>
    <w:link w:val="NoSpacing"/>
    <w:rPr>
      <w:sz w:val="24"/>
      <w:szCs w:val="24"/>
    </w:rPr>
  </w:style>
  <w:style w:type="paragraph" w:customStyle="1" w:styleId="UnterzeichnetiV">
    <w:name w:val="Unterzeichnet i.V."/>
    <w:basedOn w:val="NoSpacing"/>
    <w:next w:val="Normal"/>
    <w:uiPriority w:val="46"/>
  </w:style>
  <w:style w:type="paragraph" w:customStyle="1" w:styleId="Anschriftdaten">
    <w:name w:val="Anschriftdaten"/>
    <w:basedOn w:val="NoSpacing"/>
    <w:uiPriority w:val="49"/>
    <w:pPr>
      <w:spacing w:line="252" w:lineRule="auto"/>
      <w:ind w:right="1701"/>
    </w:pPr>
  </w:style>
  <w:style w:type="character" w:customStyle="1" w:styleId="Kursiv">
    <w:name w:val="Kursiv"/>
    <w:basedOn w:val="DefaultParagraphFont"/>
    <w:uiPriority w:val="59"/>
    <w:rPr>
      <w:i/>
      <w:iCs/>
    </w:rPr>
  </w:style>
  <w:style w:type="paragraph" w:customStyle="1" w:styleId="TH-Spalte">
    <w:name w:val="TH-Spalte"/>
    <w:basedOn w:val="TD"/>
    <w:uiPriority w:val="4"/>
    <w:rPr>
      <w:b/>
    </w:rPr>
  </w:style>
  <w:style w:type="paragraph" w:styleId="Closing">
    <w:name w:val="Closing"/>
    <w:aliases w:val="Gruß"/>
    <w:basedOn w:val="Normal"/>
    <w:next w:val="Normal"/>
    <w:link w:val="ClosingChar"/>
    <w:uiPriority w:val="46"/>
    <w:pPr>
      <w:widowControl/>
      <w:suppressAutoHyphens/>
      <w:spacing w:before="360" w:after="360" w:line="300" w:lineRule="auto"/>
      <w:jc w:val="left"/>
    </w:pPr>
    <w:rPr>
      <w:sz w:val="24"/>
      <w:szCs w:val="24"/>
    </w:rPr>
  </w:style>
  <w:style w:type="character" w:customStyle="1" w:styleId="ClosingChar">
    <w:name w:val="Closing Char"/>
    <w:aliases w:val="Gruß Char"/>
    <w:basedOn w:val="DefaultParagraphFont"/>
    <w:link w:val="Closing"/>
    <w:uiPriority w:val="46"/>
    <w:rPr>
      <w:sz w:val="24"/>
      <w:szCs w:val="24"/>
    </w:rPr>
  </w:style>
  <w:style w:type="paragraph" w:customStyle="1" w:styleId="An">
    <w:name w:val="An"/>
    <w:basedOn w:val="Anschriftdaten"/>
    <w:uiPriority w:val="99"/>
    <w:semiHidden/>
  </w:style>
  <w:style w:type="paragraph" w:customStyle="1" w:styleId="TH-Spaltelinks">
    <w:name w:val="TH-Spalte links"/>
    <w:aliases w:val="TH Sp links"/>
    <w:basedOn w:val="TH-Spalte"/>
    <w:uiPriority w:val="4"/>
  </w:style>
  <w:style w:type="paragraph" w:styleId="ListBullet">
    <w:name w:val="List Bullet"/>
    <w:aliases w:val="UL 1"/>
    <w:basedOn w:val="Normal"/>
    <w:uiPriority w:val="9"/>
    <w:pPr>
      <w:widowControl/>
      <w:numPr>
        <w:numId w:val="8"/>
      </w:numPr>
      <w:suppressAutoHyphens/>
      <w:spacing w:line="300" w:lineRule="auto"/>
      <w:contextualSpacing/>
      <w:jc w:val="left"/>
    </w:pPr>
    <w:rPr>
      <w:sz w:val="24"/>
      <w:szCs w:val="24"/>
      <w:lang w:eastAsia="de-AT"/>
    </w:rPr>
  </w:style>
  <w:style w:type="paragraph" w:styleId="ListBullet2">
    <w:name w:val="List Bullet 2"/>
    <w:aliases w:val="UL 2"/>
    <w:basedOn w:val="ListBullet"/>
    <w:uiPriority w:val="10"/>
    <w:pPr>
      <w:numPr>
        <w:ilvl w:val="1"/>
      </w:numPr>
    </w:pPr>
  </w:style>
  <w:style w:type="paragraph" w:styleId="ListBullet3">
    <w:name w:val="List Bullet 3"/>
    <w:aliases w:val="UL 3"/>
    <w:basedOn w:val="Normal"/>
    <w:uiPriority w:val="10"/>
    <w:pPr>
      <w:widowControl/>
      <w:numPr>
        <w:ilvl w:val="2"/>
        <w:numId w:val="8"/>
      </w:numPr>
      <w:suppressAutoHyphens/>
      <w:spacing w:line="300" w:lineRule="auto"/>
      <w:jc w:val="left"/>
    </w:pPr>
    <w:rPr>
      <w:rFonts w:eastAsia="Times New Roman"/>
      <w:sz w:val="24"/>
      <w:lang w:eastAsia="de-AT"/>
    </w:rPr>
  </w:style>
  <w:style w:type="paragraph" w:styleId="ListBullet4">
    <w:name w:val="List Bullet 4"/>
    <w:basedOn w:val="Normal"/>
    <w:uiPriority w:val="10"/>
    <w:semiHidden/>
    <w:pPr>
      <w:widowControl/>
      <w:numPr>
        <w:ilvl w:val="3"/>
        <w:numId w:val="8"/>
      </w:numPr>
      <w:suppressAutoHyphens/>
      <w:spacing w:line="300" w:lineRule="auto"/>
      <w:jc w:val="left"/>
    </w:pPr>
    <w:rPr>
      <w:rFonts w:eastAsia="Times New Roman"/>
      <w:sz w:val="24"/>
      <w:lang w:eastAsia="de-AT"/>
    </w:rPr>
  </w:style>
  <w:style w:type="numbering" w:customStyle="1" w:styleId="ATUnsortierteListe">
    <w:name w:val="AT Unsortierte Liste"/>
    <w:uiPriority w:val="99"/>
    <w:pPr>
      <w:numPr>
        <w:numId w:val="6"/>
      </w:numPr>
    </w:pPr>
  </w:style>
  <w:style w:type="paragraph" w:styleId="ListBullet5">
    <w:name w:val="List Bullet 5"/>
    <w:basedOn w:val="Normal"/>
    <w:uiPriority w:val="10"/>
    <w:semiHidden/>
    <w:pPr>
      <w:widowControl/>
      <w:numPr>
        <w:ilvl w:val="4"/>
        <w:numId w:val="8"/>
      </w:numPr>
      <w:suppressAutoHyphens/>
      <w:spacing w:line="300" w:lineRule="auto"/>
      <w:jc w:val="left"/>
    </w:pPr>
    <w:rPr>
      <w:rFonts w:eastAsia="Times New Roman"/>
      <w:sz w:val="24"/>
      <w:lang w:eastAsia="de-AT"/>
    </w:rPr>
  </w:style>
  <w:style w:type="paragraph" w:customStyle="1" w:styleId="Aufzhlungszeichen6">
    <w:name w:val="Aufzählungszeichen 6"/>
    <w:basedOn w:val="Normal"/>
    <w:uiPriority w:val="10"/>
    <w:semiHidden/>
    <w:pPr>
      <w:widowControl/>
      <w:numPr>
        <w:ilvl w:val="5"/>
        <w:numId w:val="8"/>
      </w:numPr>
      <w:suppressAutoHyphens/>
      <w:spacing w:line="300" w:lineRule="auto"/>
      <w:jc w:val="left"/>
    </w:pPr>
    <w:rPr>
      <w:rFonts w:eastAsia="Times New Roman"/>
      <w:sz w:val="24"/>
      <w:lang w:eastAsia="de-AT"/>
    </w:rPr>
  </w:style>
  <w:style w:type="paragraph" w:customStyle="1" w:styleId="Aufzhlungszeichen7">
    <w:name w:val="Aufzählungszeichen 7"/>
    <w:basedOn w:val="Normal"/>
    <w:uiPriority w:val="10"/>
    <w:semiHidden/>
    <w:pPr>
      <w:widowControl/>
      <w:numPr>
        <w:ilvl w:val="6"/>
        <w:numId w:val="8"/>
      </w:numPr>
      <w:suppressAutoHyphens/>
      <w:spacing w:line="300" w:lineRule="auto"/>
      <w:jc w:val="left"/>
    </w:pPr>
    <w:rPr>
      <w:rFonts w:eastAsia="Times New Roman"/>
      <w:sz w:val="24"/>
      <w:lang w:eastAsia="de-AT"/>
    </w:rPr>
  </w:style>
  <w:style w:type="paragraph" w:customStyle="1" w:styleId="Aufzhlungszeichen8">
    <w:name w:val="Aufzählungszeichen 8"/>
    <w:basedOn w:val="Normal"/>
    <w:uiPriority w:val="10"/>
    <w:semiHidden/>
    <w:pPr>
      <w:widowControl/>
      <w:numPr>
        <w:ilvl w:val="7"/>
        <w:numId w:val="8"/>
      </w:numPr>
      <w:suppressAutoHyphens/>
      <w:spacing w:line="300" w:lineRule="auto"/>
      <w:jc w:val="left"/>
    </w:pPr>
    <w:rPr>
      <w:rFonts w:eastAsia="Times New Roman"/>
      <w:sz w:val="24"/>
      <w:lang w:eastAsia="de-AT"/>
    </w:rPr>
  </w:style>
  <w:style w:type="paragraph" w:customStyle="1" w:styleId="Aufzhlungszeichen9">
    <w:name w:val="Aufzählungszeichen 9"/>
    <w:basedOn w:val="Normal"/>
    <w:uiPriority w:val="10"/>
    <w:semiHidden/>
    <w:pPr>
      <w:widowControl/>
      <w:numPr>
        <w:ilvl w:val="8"/>
        <w:numId w:val="8"/>
      </w:numPr>
      <w:suppressAutoHyphens/>
      <w:spacing w:line="300" w:lineRule="auto"/>
      <w:jc w:val="left"/>
    </w:pPr>
    <w:rPr>
      <w:rFonts w:eastAsia="Times New Roman"/>
      <w:sz w:val="24"/>
      <w:lang w:eastAsia="de-AT"/>
    </w:rPr>
  </w:style>
  <w:style w:type="paragraph" w:customStyle="1" w:styleId="Brief2">
    <w:name w:val="Brief Ü2"/>
    <w:basedOn w:val="Heading2"/>
    <w:next w:val="Normal"/>
    <w:uiPriority w:val="2"/>
    <w:pPr>
      <w:suppressAutoHyphens/>
      <w:spacing w:before="360" w:after="360" w:line="264" w:lineRule="auto"/>
    </w:pPr>
    <w:rPr>
      <w:rFonts w:asciiTheme="majorHAnsi" w:hAnsiTheme="majorHAnsi" w:cstheme="minorBidi"/>
      <w:bCs w:val="0"/>
      <w:sz w:val="28"/>
    </w:rPr>
  </w:style>
  <w:style w:type="paragraph" w:customStyle="1" w:styleId="Brief3">
    <w:name w:val="Brief Ü3"/>
    <w:basedOn w:val="Heading3"/>
    <w:next w:val="Normal"/>
    <w:uiPriority w:val="2"/>
    <w:pPr>
      <w:keepLines w:val="0"/>
      <w:numPr>
        <w:ilvl w:val="0"/>
        <w:numId w:val="0"/>
      </w:numPr>
      <w:suppressAutoHyphens/>
      <w:spacing w:before="360" w:after="0" w:line="288" w:lineRule="auto"/>
    </w:pPr>
    <w:rPr>
      <w:rFonts w:asciiTheme="majorHAnsi" w:hAnsiTheme="majorHAnsi" w:cstheme="minorBidi"/>
      <w:bCs w:val="0"/>
      <w:i w:val="0"/>
      <w:color w:val="auto"/>
      <w:sz w:val="25"/>
    </w:rPr>
  </w:style>
  <w:style w:type="paragraph" w:customStyle="1" w:styleId="ProgrammAbsatz">
    <w:name w:val="Programm Absatz"/>
    <w:aliases w:val="P-Absatz"/>
    <w:basedOn w:val="ProgrammWannWas"/>
    <w:uiPriority w:val="24"/>
  </w:style>
  <w:style w:type="paragraph" w:customStyle="1" w:styleId="Betreff">
    <w:name w:val="Betreff"/>
    <w:aliases w:val="Betreff-Titel,Betreff-H1"/>
    <w:basedOn w:val="Normal"/>
    <w:next w:val="StdVOR"/>
    <w:link w:val="BetreffZchn"/>
    <w:uiPriority w:val="3"/>
    <w:pPr>
      <w:widowControl/>
      <w:shd w:val="clear" w:color="auto" w:fill="FFFFFF"/>
      <w:suppressAutoHyphens/>
      <w:spacing w:after="360" w:line="264" w:lineRule="auto"/>
      <w:jc w:val="left"/>
      <w:outlineLvl w:val="0"/>
    </w:pPr>
    <w:rPr>
      <w:rFonts w:asciiTheme="majorHAnsi" w:hAnsiTheme="majorHAnsi"/>
      <w:b/>
      <w:sz w:val="28"/>
      <w:szCs w:val="24"/>
    </w:rPr>
  </w:style>
  <w:style w:type="paragraph" w:customStyle="1" w:styleId="TD">
    <w:name w:val="TD"/>
    <w:basedOn w:val="Normal"/>
    <w:uiPriority w:val="4"/>
    <w:pPr>
      <w:widowControl/>
      <w:suppressAutoHyphens/>
      <w:spacing w:line="300" w:lineRule="auto"/>
      <w:jc w:val="right"/>
    </w:pPr>
    <w:rPr>
      <w:sz w:val="21"/>
      <w:szCs w:val="24"/>
    </w:rPr>
  </w:style>
  <w:style w:type="paragraph" w:customStyle="1" w:styleId="TDlinks">
    <w:name w:val="TD links"/>
    <w:basedOn w:val="TD"/>
    <w:uiPriority w:val="4"/>
    <w:pPr>
      <w:jc w:val="left"/>
    </w:pPr>
  </w:style>
  <w:style w:type="table" w:styleId="LightShading">
    <w:name w:val="Light Shading"/>
    <w:basedOn w:val="TableNormal"/>
    <w:uiPriority w:val="60"/>
    <w:rPr>
      <w:color w:val="000000" w:themeColor="text1" w:themeShade="BF"/>
      <w:sz w:val="24"/>
      <w:szCs w:val="24"/>
      <w:lang w:val="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Pr>
      <w:sz w:val="24"/>
      <w:szCs w:val="24"/>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rPr>
      <w:sz w:val="24"/>
      <w:szCs w:val="24"/>
      <w:lang w:val="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4">
    <w:name w:val="Medium Shading 1 Accent 4"/>
    <w:basedOn w:val="TableNormal"/>
    <w:uiPriority w:val="63"/>
    <w:rPr>
      <w:sz w:val="24"/>
      <w:szCs w:val="24"/>
      <w:lang w:val="de-DE"/>
    </w:rPr>
    <w:tblPr>
      <w:tblStyleRowBandSize w:val="1"/>
      <w:tblStyleColBandSize w:val="1"/>
      <w:tblBorders>
        <w:top w:val="single" w:sz="8" w:space="0" w:color="6DCF20" w:themeColor="accent4" w:themeTint="BF"/>
        <w:left w:val="single" w:sz="8" w:space="0" w:color="6DCF20" w:themeColor="accent4" w:themeTint="BF"/>
        <w:bottom w:val="single" w:sz="8" w:space="0" w:color="6DCF20" w:themeColor="accent4" w:themeTint="BF"/>
        <w:right w:val="single" w:sz="8" w:space="0" w:color="6DCF20" w:themeColor="accent4" w:themeTint="BF"/>
        <w:insideH w:val="single" w:sz="8" w:space="0" w:color="6DCF20" w:themeColor="accent4" w:themeTint="BF"/>
      </w:tblBorders>
    </w:tblPr>
    <w:tblStylePr w:type="firstRow">
      <w:pPr>
        <w:spacing w:before="0" w:after="0" w:line="240" w:lineRule="auto"/>
      </w:pPr>
      <w:rPr>
        <w:b/>
        <w:bCs/>
        <w:color w:val="FFFFFF" w:themeColor="background1"/>
      </w:rPr>
      <w:tblPr/>
      <w:tcPr>
        <w:tcBorders>
          <w:top w:val="single" w:sz="8" w:space="0" w:color="6DCF20" w:themeColor="accent4" w:themeTint="BF"/>
          <w:left w:val="single" w:sz="8" w:space="0" w:color="6DCF20" w:themeColor="accent4" w:themeTint="BF"/>
          <w:bottom w:val="single" w:sz="8" w:space="0" w:color="6DCF20" w:themeColor="accent4" w:themeTint="BF"/>
          <w:right w:val="single" w:sz="8" w:space="0" w:color="6DCF20" w:themeColor="accent4" w:themeTint="BF"/>
          <w:insideH w:val="nil"/>
          <w:insideV w:val="nil"/>
        </w:tcBorders>
        <w:shd w:val="clear" w:color="auto" w:fill="448114" w:themeFill="accent4"/>
      </w:tcPr>
    </w:tblStylePr>
    <w:tblStylePr w:type="lastRow">
      <w:pPr>
        <w:spacing w:before="0" w:after="0" w:line="240" w:lineRule="auto"/>
      </w:pPr>
      <w:rPr>
        <w:b/>
        <w:bCs/>
      </w:rPr>
      <w:tblPr/>
      <w:tcPr>
        <w:tcBorders>
          <w:top w:val="double" w:sz="6" w:space="0" w:color="6DCF20" w:themeColor="accent4" w:themeTint="BF"/>
          <w:left w:val="single" w:sz="8" w:space="0" w:color="6DCF20" w:themeColor="accent4" w:themeTint="BF"/>
          <w:bottom w:val="single" w:sz="8" w:space="0" w:color="6DCF20" w:themeColor="accent4" w:themeTint="BF"/>
          <w:right w:val="single" w:sz="8" w:space="0" w:color="6DCF2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F3B1" w:themeFill="accent4" w:themeFillTint="3F"/>
      </w:tcPr>
    </w:tblStylePr>
    <w:tblStylePr w:type="band1Horz">
      <w:tblPr/>
      <w:tcPr>
        <w:tcBorders>
          <w:insideH w:val="nil"/>
          <w:insideV w:val="nil"/>
        </w:tcBorders>
        <w:shd w:val="clear" w:color="auto" w:fill="CEF3B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Pr>
      <w:sz w:val="24"/>
      <w:szCs w:val="24"/>
      <w:lang w:val="de-DE"/>
    </w:rPr>
    <w:tblPr>
      <w:tblStyleRowBandSize w:val="1"/>
      <w:tblStyleColBandSize w:val="1"/>
      <w:tblBorders>
        <w:top w:val="single" w:sz="8" w:space="0" w:color="7AA0CD" w:themeColor="accent5" w:themeTint="BF"/>
        <w:left w:val="single" w:sz="8" w:space="0" w:color="7AA0CD" w:themeColor="accent5" w:themeTint="BF"/>
        <w:bottom w:val="single" w:sz="8" w:space="0" w:color="7AA0CD" w:themeColor="accent5" w:themeTint="BF"/>
        <w:right w:val="single" w:sz="8" w:space="0" w:color="7AA0CD" w:themeColor="accent5" w:themeTint="BF"/>
        <w:insideH w:val="single" w:sz="8" w:space="0" w:color="7AA0CD" w:themeColor="accent5" w:themeTint="BF"/>
      </w:tblBorders>
    </w:tblPr>
    <w:tblStylePr w:type="firstRow">
      <w:pPr>
        <w:spacing w:before="0" w:after="0" w:line="240" w:lineRule="auto"/>
      </w:pPr>
      <w:rPr>
        <w:b/>
        <w:bCs/>
        <w:color w:val="FFFFFF" w:themeColor="background1"/>
      </w:rPr>
      <w:tblPr/>
      <w:tcPr>
        <w:tcBorders>
          <w:top w:val="single" w:sz="8" w:space="0" w:color="7AA0CD" w:themeColor="accent5" w:themeTint="BF"/>
          <w:left w:val="single" w:sz="8" w:space="0" w:color="7AA0CD" w:themeColor="accent5" w:themeTint="BF"/>
          <w:bottom w:val="single" w:sz="8" w:space="0" w:color="7AA0CD" w:themeColor="accent5" w:themeTint="BF"/>
          <w:right w:val="single" w:sz="8" w:space="0" w:color="7AA0CD" w:themeColor="accent5" w:themeTint="BF"/>
          <w:insideH w:val="nil"/>
          <w:insideV w:val="nil"/>
        </w:tcBorders>
        <w:shd w:val="clear" w:color="auto" w:fill="4E81BD" w:themeFill="accent5"/>
      </w:tcPr>
    </w:tblStylePr>
    <w:tblStylePr w:type="lastRow">
      <w:pPr>
        <w:spacing w:before="0" w:after="0" w:line="240" w:lineRule="auto"/>
      </w:pPr>
      <w:rPr>
        <w:b/>
        <w:bCs/>
      </w:rPr>
      <w:tblPr/>
      <w:tcPr>
        <w:tcBorders>
          <w:top w:val="double" w:sz="6" w:space="0" w:color="7AA0CD" w:themeColor="accent5" w:themeTint="BF"/>
          <w:left w:val="single" w:sz="8" w:space="0" w:color="7AA0CD" w:themeColor="accent5" w:themeTint="BF"/>
          <w:bottom w:val="single" w:sz="8" w:space="0" w:color="7AA0CD" w:themeColor="accent5" w:themeTint="BF"/>
          <w:right w:val="single" w:sz="8" w:space="0" w:color="7AA0C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5" w:themeFillTint="3F"/>
      </w:tcPr>
    </w:tblStylePr>
    <w:tblStylePr w:type="band1Horz">
      <w:tblPr/>
      <w:tcPr>
        <w:tcBorders>
          <w:insideH w:val="nil"/>
          <w:insideV w:val="nil"/>
        </w:tcBorders>
        <w:shd w:val="clear" w:color="auto" w:fill="D3DFEE"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rPr>
      <w:b/>
    </w:rPr>
  </w:style>
  <w:style w:type="paragraph" w:customStyle="1" w:styleId="GliederungListenfortsetzung11">
    <w:name w:val="Gliederung Listenfortsetzung 1.1."/>
    <w:aliases w:val="GL F 1.1."/>
    <w:basedOn w:val="ListContinue2"/>
    <w:next w:val="Gliederung11"/>
    <w:uiPriority w:val="17"/>
    <w:pPr>
      <w:spacing w:after="345"/>
      <w:ind w:left="964"/>
      <w:contextualSpacing w:val="0"/>
    </w:pPr>
    <w:rPr>
      <w:rFonts w:eastAsia="Times New Roman"/>
      <w:szCs w:val="22"/>
      <w:lang w:eastAsia="de-AT"/>
    </w:rPr>
  </w:style>
  <w:style w:type="numbering" w:customStyle="1" w:styleId="eu2018atGliederungsliste2">
    <w:name w:val="eu2018at Gliederungsliste 2"/>
    <w:uiPriority w:val="99"/>
    <w:pPr>
      <w:numPr>
        <w:numId w:val="10"/>
      </w:numPr>
    </w:pPr>
  </w:style>
  <w:style w:type="paragraph" w:customStyle="1" w:styleId="Gliederung10">
    <w:name w:val="Gliederung 1)"/>
    <w:aliases w:val="GL 1)"/>
    <w:basedOn w:val="ListParagraph"/>
    <w:uiPriority w:val="15"/>
    <w:semiHidden/>
    <w:pPr>
      <w:widowControl/>
      <w:suppressAutoHyphens/>
      <w:spacing w:after="360" w:line="300" w:lineRule="auto"/>
      <w:ind w:left="0"/>
      <w:contextualSpacing w:val="0"/>
      <w:jc w:val="left"/>
    </w:pPr>
    <w:rPr>
      <w:rFonts w:eastAsia="Times New Roman"/>
      <w:sz w:val="24"/>
      <w:lang w:eastAsia="de-AT"/>
    </w:rPr>
  </w:style>
  <w:style w:type="paragraph" w:customStyle="1" w:styleId="Gliederunga">
    <w:name w:val="Gliederung a)"/>
    <w:aliases w:val="GL 1)a)"/>
    <w:basedOn w:val="ListParagraph"/>
    <w:uiPriority w:val="15"/>
    <w:semiHidden/>
    <w:pPr>
      <w:widowControl/>
      <w:suppressAutoHyphens/>
      <w:spacing w:after="360" w:line="300" w:lineRule="auto"/>
      <w:ind w:left="0"/>
      <w:contextualSpacing w:val="0"/>
      <w:jc w:val="left"/>
    </w:pPr>
    <w:rPr>
      <w:rFonts w:eastAsia="Times New Roman"/>
      <w:sz w:val="24"/>
      <w:lang w:eastAsia="de-AT"/>
    </w:rPr>
  </w:style>
  <w:style w:type="numbering" w:customStyle="1" w:styleId="eu2018atGliederungsliste">
    <w:name w:val="eu2018at Gliederungsliste"/>
    <w:uiPriority w:val="99"/>
    <w:pPr>
      <w:numPr>
        <w:numId w:val="9"/>
      </w:numPr>
    </w:pPr>
  </w:style>
  <w:style w:type="paragraph" w:customStyle="1" w:styleId="Gliederungi">
    <w:name w:val="Gliederung i)"/>
    <w:aliases w:val="GL1)a) i)"/>
    <w:basedOn w:val="ListParagraph"/>
    <w:uiPriority w:val="15"/>
    <w:semiHidden/>
    <w:pPr>
      <w:widowControl/>
      <w:suppressAutoHyphens/>
      <w:spacing w:after="360" w:line="300" w:lineRule="auto"/>
      <w:ind w:left="0"/>
      <w:contextualSpacing w:val="0"/>
      <w:jc w:val="left"/>
    </w:pPr>
    <w:rPr>
      <w:rFonts w:eastAsia="Times New Roman"/>
      <w:sz w:val="24"/>
      <w:lang w:eastAsia="de-AT"/>
    </w:rPr>
  </w:style>
  <w:style w:type="paragraph" w:customStyle="1" w:styleId="Gliederung1">
    <w:name w:val="Gliederung 1."/>
    <w:aliases w:val="GL 1."/>
    <w:basedOn w:val="Normal"/>
    <w:uiPriority w:val="17"/>
    <w:pPr>
      <w:widowControl/>
      <w:numPr>
        <w:numId w:val="54"/>
      </w:numPr>
      <w:suppressAutoHyphens/>
      <w:spacing w:after="360" w:line="300" w:lineRule="auto"/>
      <w:jc w:val="left"/>
    </w:pPr>
    <w:rPr>
      <w:rFonts w:eastAsia="Times New Roman"/>
      <w:sz w:val="24"/>
      <w:lang w:eastAsia="de-AT"/>
    </w:rPr>
  </w:style>
  <w:style w:type="paragraph" w:customStyle="1" w:styleId="Gliederung11">
    <w:name w:val="Gliederung 1.1"/>
    <w:aliases w:val="GL 1.1."/>
    <w:basedOn w:val="Normal"/>
    <w:uiPriority w:val="17"/>
    <w:qFormat/>
    <w:pPr>
      <w:widowControl/>
      <w:numPr>
        <w:ilvl w:val="1"/>
        <w:numId w:val="54"/>
      </w:numPr>
      <w:suppressAutoHyphens/>
      <w:spacing w:after="360" w:line="300" w:lineRule="auto"/>
      <w:jc w:val="left"/>
    </w:pPr>
    <w:rPr>
      <w:rFonts w:eastAsia="Times New Roman"/>
      <w:sz w:val="24"/>
      <w:lang w:eastAsia="de-AT"/>
    </w:rPr>
  </w:style>
  <w:style w:type="paragraph" w:customStyle="1" w:styleId="Gliederung111">
    <w:name w:val="Gliederung 1.1.1."/>
    <w:aliases w:val="GL 1.1.1"/>
    <w:basedOn w:val="Normal"/>
    <w:uiPriority w:val="17"/>
    <w:semiHidden/>
    <w:pPr>
      <w:widowControl/>
      <w:numPr>
        <w:ilvl w:val="2"/>
        <w:numId w:val="54"/>
      </w:numPr>
      <w:suppressAutoHyphens/>
      <w:spacing w:after="360" w:line="300" w:lineRule="auto"/>
      <w:jc w:val="left"/>
    </w:pPr>
    <w:rPr>
      <w:rFonts w:eastAsia="Times New Roman"/>
      <w:sz w:val="24"/>
      <w:lang w:eastAsia="de-AT"/>
    </w:rPr>
  </w:style>
  <w:style w:type="paragraph" w:customStyle="1" w:styleId="GliederungListenfortsetzung111">
    <w:name w:val="Gliederung Listenfortsetzung 1.1.1"/>
    <w:aliases w:val="GL F 1.1.1"/>
    <w:basedOn w:val="Gliederung111"/>
    <w:next w:val="Gliederung111"/>
    <w:uiPriority w:val="17"/>
    <w:semiHidden/>
    <w:pPr>
      <w:numPr>
        <w:ilvl w:val="0"/>
        <w:numId w:val="0"/>
      </w:numPr>
      <w:ind w:left="1758"/>
    </w:pPr>
  </w:style>
  <w:style w:type="paragraph" w:customStyle="1" w:styleId="GliederungListenfortsetzung1">
    <w:name w:val="Gliederung Listenfortsetzung 1"/>
    <w:aliases w:val="GL F 1."/>
    <w:basedOn w:val="ListContinue"/>
    <w:next w:val="Gliederung1"/>
    <w:uiPriority w:val="17"/>
    <w:pPr>
      <w:spacing w:after="345"/>
    </w:pPr>
    <w:rPr>
      <w:rFonts w:eastAsia="Times New Roman"/>
      <w:szCs w:val="22"/>
      <w:lang w:eastAsia="de-AT"/>
    </w:rPr>
  </w:style>
  <w:style w:type="paragraph" w:customStyle="1" w:styleId="GliederungListenfortsetzung10">
    <w:name w:val="Gliederung Listenfortsetzung 1)"/>
    <w:aliases w:val="GL F 1)"/>
    <w:basedOn w:val="ListContinue"/>
    <w:uiPriority w:val="16"/>
    <w:semiHidden/>
    <w:pPr>
      <w:spacing w:after="220"/>
      <w:contextualSpacing w:val="0"/>
    </w:pPr>
    <w:rPr>
      <w:rFonts w:eastAsia="Times New Roman"/>
      <w:szCs w:val="22"/>
      <w:lang w:eastAsia="de-AT"/>
    </w:rPr>
  </w:style>
  <w:style w:type="paragraph" w:customStyle="1" w:styleId="GliederungListenfortsetzung1a">
    <w:name w:val="Gliederung Listenfortsetzung 1)a)"/>
    <w:aliases w:val="GL F 1)a)"/>
    <w:basedOn w:val="ListContinue2"/>
    <w:uiPriority w:val="16"/>
    <w:semiHidden/>
    <w:pPr>
      <w:spacing w:after="220"/>
      <w:contextualSpacing w:val="0"/>
    </w:pPr>
    <w:rPr>
      <w:rFonts w:eastAsia="Times New Roman"/>
      <w:szCs w:val="22"/>
      <w:lang w:eastAsia="de-AT"/>
    </w:rPr>
  </w:style>
  <w:style w:type="paragraph" w:customStyle="1" w:styleId="GliederungListenfortsetzung1ai">
    <w:name w:val="Gliederung Listenfortsetzung 1)a)i)"/>
    <w:aliases w:val="GL F 1)a)i)"/>
    <w:basedOn w:val="ListContinue3"/>
    <w:uiPriority w:val="16"/>
    <w:semiHidden/>
    <w:pPr>
      <w:spacing w:after="220"/>
      <w:contextualSpacing w:val="0"/>
    </w:pPr>
    <w:rPr>
      <w:rFonts w:eastAsia="Times New Roman"/>
      <w:szCs w:val="22"/>
      <w:lang w:eastAsia="de-AT"/>
    </w:rPr>
  </w:style>
  <w:style w:type="paragraph" w:styleId="ListContinue2">
    <w:name w:val="List Continue 2"/>
    <w:aliases w:val="L Ftsz 2"/>
    <w:basedOn w:val="Normal"/>
    <w:uiPriority w:val="14"/>
    <w:pPr>
      <w:widowControl/>
      <w:suppressAutoHyphens/>
      <w:spacing w:line="300" w:lineRule="auto"/>
      <w:ind w:left="794"/>
      <w:contextualSpacing/>
      <w:jc w:val="left"/>
    </w:pPr>
    <w:rPr>
      <w:sz w:val="24"/>
      <w:szCs w:val="24"/>
    </w:rPr>
  </w:style>
  <w:style w:type="paragraph" w:styleId="ListContinue">
    <w:name w:val="List Continue"/>
    <w:aliases w:val="L Ftsz 1"/>
    <w:basedOn w:val="Normal"/>
    <w:uiPriority w:val="13"/>
    <w:pPr>
      <w:widowControl/>
      <w:suppressAutoHyphens/>
      <w:spacing w:line="300" w:lineRule="auto"/>
      <w:ind w:left="397"/>
      <w:contextualSpacing/>
      <w:jc w:val="left"/>
    </w:pPr>
    <w:rPr>
      <w:sz w:val="24"/>
      <w:szCs w:val="24"/>
    </w:rPr>
  </w:style>
  <w:style w:type="paragraph" w:styleId="ListContinue3">
    <w:name w:val="List Continue 3"/>
    <w:aliases w:val="L Ftsz 3"/>
    <w:basedOn w:val="Normal"/>
    <w:uiPriority w:val="14"/>
    <w:pPr>
      <w:widowControl/>
      <w:suppressAutoHyphens/>
      <w:spacing w:line="300" w:lineRule="auto"/>
      <w:ind w:left="1191"/>
      <w:contextualSpacing/>
      <w:jc w:val="left"/>
    </w:pPr>
    <w:rPr>
      <w:sz w:val="24"/>
      <w:szCs w:val="24"/>
    </w:rPr>
  </w:style>
  <w:style w:type="paragraph" w:customStyle="1" w:styleId="Absende-URL">
    <w:name w:val="Absende-URL"/>
    <w:basedOn w:val="NoSpacing"/>
    <w:next w:val="Absendedaten"/>
    <w:uiPriority w:val="54"/>
    <w:pPr>
      <w:spacing w:before="85" w:after="794" w:line="220" w:lineRule="exact"/>
    </w:pPr>
    <w:rPr>
      <w:noProof/>
      <w:color w:val="E1320F"/>
      <w:lang w:eastAsia="de-AT"/>
    </w:rPr>
  </w:style>
  <w:style w:type="paragraph" w:customStyle="1" w:styleId="GZ">
    <w:name w:val="GZ"/>
    <w:basedOn w:val="Normal"/>
    <w:next w:val="Normal"/>
    <w:uiPriority w:val="47"/>
    <w:pPr>
      <w:widowControl/>
      <w:suppressAutoHyphens/>
      <w:spacing w:before="220" w:line="300" w:lineRule="auto"/>
      <w:jc w:val="left"/>
    </w:pPr>
    <w:rPr>
      <w:sz w:val="24"/>
      <w:szCs w:val="24"/>
    </w:rPr>
  </w:style>
  <w:style w:type="paragraph" w:customStyle="1" w:styleId="StdVOR">
    <w:name w:val="Std+VOR"/>
    <w:basedOn w:val="Normal"/>
    <w:next w:val="Normal"/>
    <w:pPr>
      <w:widowControl/>
      <w:suppressAutoHyphens/>
      <w:spacing w:before="360" w:after="360" w:line="300" w:lineRule="auto"/>
      <w:jc w:val="left"/>
    </w:pPr>
    <w:rPr>
      <w:sz w:val="24"/>
      <w:szCs w:val="24"/>
    </w:rPr>
  </w:style>
  <w:style w:type="paragraph" w:styleId="ListNumber">
    <w:name w:val="List Number"/>
    <w:aliases w:val="OL 1"/>
    <w:basedOn w:val="Normal"/>
    <w:uiPriority w:val="11"/>
    <w:pPr>
      <w:widowControl/>
      <w:suppressAutoHyphens/>
      <w:spacing w:line="300" w:lineRule="auto"/>
      <w:contextualSpacing/>
      <w:jc w:val="left"/>
    </w:pPr>
    <w:rPr>
      <w:sz w:val="24"/>
      <w:szCs w:val="24"/>
    </w:rPr>
  </w:style>
  <w:style w:type="paragraph" w:styleId="BlockText">
    <w:name w:val="Block Text"/>
    <w:basedOn w:val="Normal"/>
    <w:uiPriority w:val="99"/>
    <w:semiHidden/>
    <w:unhideWhenUsed/>
    <w:pPr>
      <w:widowControl/>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uppressAutoHyphens/>
      <w:spacing w:after="360" w:line="300" w:lineRule="auto"/>
      <w:ind w:left="1152" w:right="1152"/>
      <w:jc w:val="left"/>
    </w:pPr>
    <w:rPr>
      <w:i/>
      <w:iCs/>
      <w:color w:val="7F7F7F" w:themeColor="text1" w:themeTint="80"/>
      <w:sz w:val="24"/>
      <w:szCs w:val="24"/>
    </w:rPr>
  </w:style>
  <w:style w:type="paragraph" w:customStyle="1" w:styleId="Listennummera">
    <w:name w:val="Listennummer a)"/>
    <w:aliases w:val="OL 1 a)"/>
    <w:basedOn w:val="ListNumber"/>
    <w:uiPriority w:val="18"/>
    <w:pPr>
      <w:numPr>
        <w:numId w:val="11"/>
      </w:numPr>
    </w:pPr>
  </w:style>
  <w:style w:type="numbering" w:customStyle="1" w:styleId="ATGliederungsliste">
    <w:name w:val="AT Gliederungsliste"/>
    <w:uiPriority w:val="99"/>
    <w:pPr>
      <w:numPr>
        <w:numId w:val="20"/>
      </w:numPr>
    </w:pPr>
  </w:style>
  <w:style w:type="paragraph" w:styleId="ListNumber2">
    <w:name w:val="List Number 2"/>
    <w:aliases w:val="OL 2"/>
    <w:basedOn w:val="Normal"/>
    <w:uiPriority w:val="12"/>
    <w:pPr>
      <w:widowControl/>
      <w:suppressAutoHyphens/>
      <w:spacing w:line="300" w:lineRule="auto"/>
      <w:jc w:val="left"/>
    </w:pPr>
    <w:rPr>
      <w:sz w:val="24"/>
      <w:szCs w:val="24"/>
    </w:rPr>
  </w:style>
  <w:style w:type="paragraph" w:styleId="ListNumber3">
    <w:name w:val="List Number 3"/>
    <w:aliases w:val="OL 3"/>
    <w:basedOn w:val="Normal"/>
    <w:uiPriority w:val="12"/>
    <w:pPr>
      <w:widowControl/>
      <w:suppressAutoHyphens/>
      <w:spacing w:line="300" w:lineRule="auto"/>
      <w:jc w:val="left"/>
    </w:pPr>
    <w:rPr>
      <w:sz w:val="24"/>
      <w:szCs w:val="24"/>
    </w:rPr>
  </w:style>
  <w:style w:type="paragraph" w:styleId="ListNumber4">
    <w:name w:val="List Number 4"/>
    <w:basedOn w:val="Normal"/>
    <w:uiPriority w:val="12"/>
    <w:semiHidden/>
    <w:pPr>
      <w:widowControl/>
      <w:suppressAutoHyphens/>
      <w:spacing w:line="276" w:lineRule="auto"/>
      <w:jc w:val="left"/>
    </w:pPr>
    <w:rPr>
      <w:sz w:val="24"/>
      <w:szCs w:val="24"/>
    </w:rPr>
  </w:style>
  <w:style w:type="paragraph" w:styleId="ListNumber5">
    <w:name w:val="List Number 5"/>
    <w:basedOn w:val="Normal"/>
    <w:uiPriority w:val="12"/>
    <w:semiHidden/>
    <w:pPr>
      <w:widowControl/>
      <w:suppressAutoHyphens/>
      <w:spacing w:line="300" w:lineRule="auto"/>
      <w:jc w:val="left"/>
    </w:pPr>
    <w:rPr>
      <w:sz w:val="24"/>
      <w:szCs w:val="24"/>
    </w:rPr>
  </w:style>
  <w:style w:type="paragraph" w:customStyle="1" w:styleId="Listennummer6">
    <w:name w:val="Listennummer 6"/>
    <w:basedOn w:val="Normal"/>
    <w:uiPriority w:val="12"/>
    <w:semiHidden/>
    <w:pPr>
      <w:widowControl/>
      <w:suppressAutoHyphens/>
      <w:spacing w:line="300" w:lineRule="auto"/>
      <w:jc w:val="left"/>
    </w:pPr>
    <w:rPr>
      <w:rFonts w:eastAsia="Times New Roman"/>
      <w:sz w:val="24"/>
      <w:lang w:eastAsia="de-AT"/>
    </w:rPr>
  </w:style>
  <w:style w:type="paragraph" w:customStyle="1" w:styleId="Listennummer7">
    <w:name w:val="Listennummer 7"/>
    <w:basedOn w:val="Normal"/>
    <w:uiPriority w:val="12"/>
    <w:semiHidden/>
    <w:pPr>
      <w:widowControl/>
      <w:suppressAutoHyphens/>
      <w:spacing w:line="300" w:lineRule="auto"/>
      <w:jc w:val="left"/>
    </w:pPr>
    <w:rPr>
      <w:rFonts w:eastAsia="Times New Roman"/>
      <w:sz w:val="24"/>
      <w:lang w:eastAsia="de-AT"/>
    </w:rPr>
  </w:style>
  <w:style w:type="paragraph" w:customStyle="1" w:styleId="Listennummer8">
    <w:name w:val="Listennummer 8"/>
    <w:basedOn w:val="Normal"/>
    <w:uiPriority w:val="12"/>
    <w:semiHidden/>
    <w:pPr>
      <w:widowControl/>
      <w:suppressAutoHyphens/>
      <w:spacing w:line="300" w:lineRule="auto"/>
      <w:jc w:val="left"/>
    </w:pPr>
    <w:rPr>
      <w:rFonts w:eastAsia="Times New Roman"/>
      <w:sz w:val="24"/>
      <w:lang w:eastAsia="de-AT"/>
    </w:rPr>
  </w:style>
  <w:style w:type="paragraph" w:customStyle="1" w:styleId="Listennummer9">
    <w:name w:val="Listennummer 9"/>
    <w:basedOn w:val="Normal"/>
    <w:uiPriority w:val="12"/>
    <w:semiHidden/>
    <w:pPr>
      <w:widowControl/>
      <w:suppressAutoHyphens/>
      <w:spacing w:line="300" w:lineRule="auto"/>
      <w:jc w:val="left"/>
    </w:pPr>
    <w:rPr>
      <w:rFonts w:eastAsia="Times New Roman"/>
      <w:sz w:val="24"/>
      <w:lang w:eastAsia="de-AT"/>
    </w:rPr>
  </w:style>
  <w:style w:type="table" w:customStyle="1" w:styleId="Republik-AT">
    <w:name w:val="Republik-AT"/>
    <w:basedOn w:val="TableGrid"/>
    <w:uiPriority w:val="99"/>
    <w:rPr>
      <w:sz w:val="21"/>
      <w:szCs w:val="24"/>
      <w:lang w:val="de-DE"/>
    </w:r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FFFFFF" w:themeFill="background1"/>
      </w:tcPr>
    </w:tblStylePr>
    <w:tblStylePr w:type="firstCol">
      <w:tblPr/>
      <w:tcPr>
        <w:shd w:val="clear" w:color="auto" w:fill="FFFFFF"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NoList"/>
    <w:uiPriority w:val="99"/>
    <w:pPr>
      <w:numPr>
        <w:numId w:val="5"/>
      </w:numPr>
    </w:pPr>
  </w:style>
  <w:style w:type="character" w:customStyle="1" w:styleId="small">
    <w:name w:val="small"/>
    <w:basedOn w:val="DefaultParagraphFont"/>
    <w:uiPriority w:val="46"/>
    <w:rPr>
      <w:sz w:val="18"/>
      <w:szCs w:val="16"/>
    </w:rPr>
  </w:style>
  <w:style w:type="paragraph" w:customStyle="1" w:styleId="1nummeriert">
    <w:name w:val="Ü1 nummeriert"/>
    <w:basedOn w:val="Heading1"/>
    <w:next w:val="Normal"/>
    <w:uiPriority w:val="2"/>
    <w:semiHidden/>
    <w:pPr>
      <w:numPr>
        <w:numId w:val="4"/>
      </w:numPr>
      <w:tabs>
        <w:tab w:val="clear" w:pos="567"/>
      </w:tabs>
      <w:suppressAutoHyphens/>
      <w:spacing w:after="690" w:line="690" w:lineRule="exact"/>
      <w:ind w:left="1134" w:hanging="1134"/>
    </w:pPr>
    <w:rPr>
      <w:b w:val="0"/>
      <w:color w:val="3F3F3F" w:themeColor="text2"/>
    </w:rPr>
  </w:style>
  <w:style w:type="paragraph" w:customStyle="1" w:styleId="2nummeriert">
    <w:name w:val="Ü2 nummeriert"/>
    <w:basedOn w:val="Heading2"/>
    <w:next w:val="Normal"/>
    <w:uiPriority w:val="2"/>
    <w:semiHidden/>
    <w:pPr>
      <w:keepLines/>
      <w:tabs>
        <w:tab w:val="num" w:pos="567"/>
      </w:tabs>
      <w:suppressAutoHyphens/>
      <w:spacing w:before="345" w:after="360" w:line="264" w:lineRule="auto"/>
      <w:ind w:left="1134" w:hanging="1134"/>
    </w:pPr>
    <w:rPr>
      <w:rFonts w:asciiTheme="majorHAnsi" w:hAnsiTheme="majorHAnsi"/>
      <w:sz w:val="28"/>
    </w:rPr>
  </w:style>
  <w:style w:type="paragraph" w:customStyle="1" w:styleId="3nummeriert">
    <w:name w:val="Ü3 nummeriert"/>
    <w:basedOn w:val="Heading3"/>
    <w:next w:val="Normal"/>
    <w:uiPriority w:val="2"/>
    <w:semiHidden/>
    <w:pPr>
      <w:numPr>
        <w:numId w:val="4"/>
      </w:numPr>
      <w:suppressAutoHyphens/>
      <w:spacing w:before="345" w:after="0" w:line="288" w:lineRule="auto"/>
      <w:ind w:left="1134" w:hanging="1134"/>
    </w:pPr>
    <w:rPr>
      <w:rFonts w:asciiTheme="majorHAnsi" w:hAnsiTheme="majorHAnsi"/>
      <w:i w:val="0"/>
      <w:color w:val="auto"/>
      <w:sz w:val="25"/>
    </w:rPr>
  </w:style>
  <w:style w:type="paragraph" w:customStyle="1" w:styleId="4nummeriert">
    <w:name w:val="Ü4 nummeriert"/>
    <w:basedOn w:val="Heading4"/>
    <w:next w:val="Normal"/>
    <w:uiPriority w:val="2"/>
    <w:semiHidden/>
    <w:pPr>
      <w:numPr>
        <w:numId w:val="4"/>
      </w:numPr>
      <w:suppressAutoHyphens/>
      <w:spacing w:before="345" w:after="0" w:line="288" w:lineRule="auto"/>
      <w:ind w:left="1134" w:hanging="1134"/>
    </w:pPr>
    <w:rPr>
      <w:rFonts w:asciiTheme="majorHAnsi" w:hAnsiTheme="majorHAnsi"/>
      <w:b/>
      <w:bCs/>
      <w:i w:val="0"/>
      <w:color w:val="auto"/>
      <w:sz w:val="23"/>
      <w:szCs w:val="24"/>
    </w:rPr>
  </w:style>
  <w:style w:type="paragraph" w:customStyle="1" w:styleId="5nummeriert">
    <w:name w:val="Ü5 nummeriert"/>
    <w:basedOn w:val="Heading5"/>
    <w:next w:val="Normal"/>
    <w:uiPriority w:val="2"/>
    <w:semiHidden/>
    <w:pPr>
      <w:numPr>
        <w:numId w:val="4"/>
      </w:numPr>
      <w:suppressAutoHyphens/>
      <w:spacing w:before="345" w:after="0" w:line="276" w:lineRule="auto"/>
      <w:ind w:left="1134" w:hanging="1134"/>
    </w:pPr>
    <w:rPr>
      <w:rFonts w:asciiTheme="majorHAnsi" w:hAnsiTheme="majorHAnsi"/>
      <w:b/>
      <w:bCs/>
      <w:color w:val="404040" w:themeColor="text1" w:themeTint="BF"/>
      <w:szCs w:val="24"/>
    </w:rPr>
  </w:style>
  <w:style w:type="paragraph" w:customStyle="1" w:styleId="1-small">
    <w:name w:val="Ü1-small"/>
    <w:basedOn w:val="Heading1"/>
    <w:next w:val="Normal"/>
    <w:uiPriority w:val="3"/>
    <w:semiHidden/>
    <w:pPr>
      <w:keepLines w:val="0"/>
      <w:numPr>
        <w:numId w:val="0"/>
      </w:numPr>
      <w:suppressAutoHyphens/>
      <w:spacing w:after="345" w:line="690" w:lineRule="exact"/>
    </w:pPr>
    <w:rPr>
      <w:rFonts w:cstheme="minorBidi"/>
      <w:bCs w:val="0"/>
      <w:color w:val="auto"/>
      <w:sz w:val="25"/>
      <w:szCs w:val="25"/>
    </w:rPr>
  </w:style>
  <w:style w:type="character" w:customStyle="1" w:styleId="Hochstellen">
    <w:name w:val="Hochstellen"/>
    <w:basedOn w:val="DefaultParagraphFont"/>
    <w:uiPriority w:val="59"/>
    <w:rPr>
      <w:caps w:val="0"/>
      <w:smallCaps w:val="0"/>
      <w:strike w:val="0"/>
      <w:dstrike w:val="0"/>
      <w:vanish w:val="0"/>
      <w:vertAlign w:val="superscript"/>
    </w:rPr>
  </w:style>
  <w:style w:type="paragraph" w:customStyle="1" w:styleId="ProgrammAufzhlung1">
    <w:name w:val="Programm Aufzählung 1"/>
    <w:aliases w:val="P-UL"/>
    <w:basedOn w:val="Normal"/>
    <w:uiPriority w:val="24"/>
    <w:pPr>
      <w:widowControl/>
      <w:numPr>
        <w:numId w:val="12"/>
      </w:numPr>
      <w:suppressAutoHyphens/>
      <w:spacing w:line="300" w:lineRule="auto"/>
      <w:jc w:val="left"/>
    </w:pPr>
    <w:rPr>
      <w:rFonts w:eastAsia="Times New Roman"/>
      <w:sz w:val="24"/>
      <w:lang w:eastAsia="de-AT"/>
    </w:rPr>
  </w:style>
  <w:style w:type="paragraph" w:customStyle="1" w:styleId="P-Intro">
    <w:name w:val="P-Intro"/>
    <w:basedOn w:val="Normal"/>
    <w:uiPriority w:val="19"/>
    <w:semiHidden/>
    <w:pPr>
      <w:widowControl/>
      <w:suppressAutoHyphens/>
      <w:spacing w:after="690" w:line="300" w:lineRule="auto"/>
      <w:jc w:val="left"/>
    </w:pPr>
    <w:rPr>
      <w:color w:val="3F3F3F" w:themeColor="text2"/>
      <w:sz w:val="25"/>
      <w:szCs w:val="24"/>
    </w:rPr>
  </w:style>
  <w:style w:type="paragraph" w:customStyle="1" w:styleId="ProgrammAufzhlung1ABSTNACH">
    <w:name w:val="Programm Aufzählung 1 ABST NACH"/>
    <w:aliases w:val="P-UL Ende"/>
    <w:basedOn w:val="ProgrammAufzhlung1"/>
    <w:uiPriority w:val="24"/>
    <w:pPr>
      <w:spacing w:after="345"/>
    </w:pPr>
  </w:style>
  <w:style w:type="paragraph" w:customStyle="1" w:styleId="Quelle">
    <w:name w:val="Quelle"/>
    <w:basedOn w:val="StdVOR"/>
    <w:next w:val="Normal"/>
    <w:uiPriority w:val="5"/>
    <w:rPr>
      <w:sz w:val="21"/>
      <w:szCs w:val="19"/>
    </w:rPr>
  </w:style>
  <w:style w:type="paragraph" w:customStyle="1" w:styleId="BoxTitel">
    <w:name w:val="Box Titel"/>
    <w:basedOn w:val="Normal"/>
    <w:uiPriority w:val="21"/>
    <w:semiHidden/>
    <w:pPr>
      <w:widowControl/>
      <w:pBdr>
        <w:top w:val="single" w:sz="4" w:space="15" w:color="FFFFFF" w:themeColor="background1"/>
        <w:left w:val="single" w:sz="4" w:space="20" w:color="FFFFFF" w:themeColor="background1"/>
        <w:right w:val="single" w:sz="4" w:space="20" w:color="FFFFFF" w:themeColor="background1"/>
      </w:pBdr>
      <w:shd w:val="clear" w:color="auto" w:fill="FFFFFF" w:themeFill="background1"/>
      <w:suppressAutoHyphens/>
      <w:spacing w:line="300" w:lineRule="auto"/>
      <w:ind w:left="397" w:right="397"/>
      <w:jc w:val="left"/>
    </w:pPr>
    <w:rPr>
      <w:b/>
      <w:bCs/>
      <w:color w:val="3F3F3F" w:themeColor="text2"/>
      <w:sz w:val="24"/>
      <w:szCs w:val="24"/>
    </w:rPr>
  </w:style>
  <w:style w:type="paragraph" w:customStyle="1" w:styleId="BoxStd">
    <w:name w:val="Box Std"/>
    <w:basedOn w:val="Normal"/>
    <w:uiPriority w:val="22"/>
    <w:pPr>
      <w:widowControl/>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jc w:val="left"/>
    </w:pPr>
    <w:rPr>
      <w:sz w:val="24"/>
      <w:szCs w:val="24"/>
    </w:rPr>
  </w:style>
  <w:style w:type="paragraph" w:customStyle="1" w:styleId="BoxUL1">
    <w:name w:val="Box UL 1"/>
    <w:basedOn w:val="ProgrammAufzhlung1"/>
    <w:uiPriority w:val="22"/>
    <w:semiHidden/>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ind w:left="794" w:right="397"/>
      <w:contextualSpacing/>
    </w:pPr>
  </w:style>
  <w:style w:type="numbering" w:customStyle="1" w:styleId="Programm-Liste">
    <w:name w:val="Programm-Liste"/>
    <w:basedOn w:val="NoList"/>
    <w:pPr>
      <w:numPr>
        <w:numId w:val="12"/>
      </w:numPr>
    </w:pPr>
  </w:style>
  <w:style w:type="paragraph" w:customStyle="1" w:styleId="Vermerk">
    <w:name w:val="Vermerk"/>
    <w:basedOn w:val="Normal"/>
    <w:uiPriority w:val="47"/>
    <w:pPr>
      <w:widowControl/>
      <w:suppressAutoHyphens/>
      <w:spacing w:after="360" w:line="300" w:lineRule="auto"/>
      <w:jc w:val="left"/>
    </w:pPr>
    <w:rPr>
      <w:sz w:val="18"/>
      <w:szCs w:val="24"/>
    </w:rPr>
  </w:style>
  <w:style w:type="character" w:customStyle="1" w:styleId="Tiefstellen">
    <w:name w:val="Tiefstellen"/>
    <w:basedOn w:val="DefaultParagraphFont"/>
    <w:uiPriority w:val="59"/>
    <w:rPr>
      <w:caps w:val="0"/>
      <w:smallCaps w:val="0"/>
      <w:strike w:val="0"/>
      <w:dstrike w:val="0"/>
      <w:vanish w:val="0"/>
      <w:vertAlign w:val="subscript"/>
    </w:rPr>
  </w:style>
  <w:style w:type="paragraph" w:customStyle="1" w:styleId="AbsNACH">
    <w:name w:val="Abs+NACH"/>
    <w:basedOn w:val="Absendedaten"/>
    <w:uiPriority w:val="49"/>
    <w:pPr>
      <w:spacing w:after="240"/>
    </w:pPr>
    <w:rPr>
      <w:rFonts w:eastAsia="Times New Roman"/>
      <w:szCs w:val="20"/>
    </w:rPr>
  </w:style>
  <w:style w:type="character" w:customStyle="1" w:styleId="Grobuchstaben">
    <w:name w:val="Großbuchstaben"/>
    <w:basedOn w:val="DefaultParagraphFont"/>
    <w:uiPriority w:val="59"/>
    <w:rPr>
      <w:caps/>
      <w:smallCaps w:val="0"/>
      <w:strike w:val="0"/>
      <w:dstrike w:val="0"/>
      <w:vanish w:val="0"/>
      <w:vertAlign w:val="baseline"/>
    </w:rPr>
  </w:style>
  <w:style w:type="paragraph" w:customStyle="1" w:styleId="UZ-Datum">
    <w:name w:val="UZ-Datum"/>
    <w:basedOn w:val="UnterzeichnetiV"/>
    <w:next w:val="UnterzeichnetiV"/>
    <w:uiPriority w:val="46"/>
    <w:pPr>
      <w:spacing w:before="360"/>
    </w:pPr>
    <w:rPr>
      <w:rFonts w:eastAsia="Times New Roman"/>
      <w:szCs w:val="20"/>
    </w:rPr>
  </w:style>
  <w:style w:type="paragraph" w:customStyle="1" w:styleId="Elektronischgefertigt">
    <w:name w:val="Elektronisch gefertigt"/>
    <w:basedOn w:val="StdVOR"/>
    <w:next w:val="Normal"/>
    <w:uiPriority w:val="46"/>
    <w:pPr>
      <w:spacing w:after="0"/>
    </w:pPr>
    <w:rPr>
      <w:sz w:val="18"/>
    </w:rPr>
  </w:style>
  <w:style w:type="paragraph" w:customStyle="1" w:styleId="Brief2nummeriert">
    <w:name w:val="Brief Ü2 nummeriert"/>
    <w:basedOn w:val="Normal"/>
    <w:next w:val="Normal"/>
    <w:uiPriority w:val="2"/>
    <w:pPr>
      <w:keepNext/>
      <w:keepLines/>
      <w:widowControl/>
      <w:numPr>
        <w:ilvl w:val="1"/>
        <w:numId w:val="55"/>
      </w:numPr>
      <w:suppressAutoHyphens/>
      <w:spacing w:before="360" w:after="360" w:line="264" w:lineRule="auto"/>
      <w:jc w:val="left"/>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DefaultParagraphFont"/>
    <w:link w:val="Betreff"/>
    <w:uiPriority w:val="3"/>
    <w:rPr>
      <w:rFonts w:asciiTheme="majorHAnsi" w:hAnsiTheme="majorHAnsi"/>
      <w:b/>
      <w:sz w:val="28"/>
      <w:szCs w:val="24"/>
      <w:shd w:val="clear" w:color="auto" w:fill="FFFFFF"/>
    </w:rPr>
  </w:style>
  <w:style w:type="numbering" w:customStyle="1" w:styleId="AT-Brief-berschriftengliederung">
    <w:name w:val="AT-Brief-Überschriftengliederung"/>
    <w:uiPriority w:val="99"/>
    <w:pPr>
      <w:numPr>
        <w:numId w:val="7"/>
      </w:numPr>
    </w:pPr>
  </w:style>
  <w:style w:type="paragraph" w:customStyle="1" w:styleId="Brief3nummeriert">
    <w:name w:val="Brief Ü3 nummeriert"/>
    <w:basedOn w:val="Normal"/>
    <w:next w:val="Normal"/>
    <w:uiPriority w:val="2"/>
    <w:pPr>
      <w:keepNext/>
      <w:keepLines/>
      <w:widowControl/>
      <w:numPr>
        <w:ilvl w:val="2"/>
        <w:numId w:val="55"/>
      </w:numPr>
      <w:suppressAutoHyphens/>
      <w:spacing w:before="360" w:line="288" w:lineRule="auto"/>
      <w:jc w:val="left"/>
      <w:outlineLvl w:val="2"/>
    </w:pPr>
    <w:rPr>
      <w:rFonts w:asciiTheme="majorHAnsi" w:eastAsiaTheme="majorEastAsia" w:hAnsiTheme="majorHAnsi" w:cstheme="majorBidi"/>
      <w:b/>
      <w:sz w:val="25"/>
      <w:szCs w:val="24"/>
    </w:rPr>
  </w:style>
  <w:style w:type="paragraph" w:styleId="Date">
    <w:name w:val="Date"/>
    <w:basedOn w:val="Normal"/>
    <w:next w:val="Normal"/>
    <w:link w:val="DateChar"/>
    <w:pPr>
      <w:widowControl/>
      <w:suppressAutoHyphens/>
      <w:spacing w:after="360" w:line="300" w:lineRule="auto"/>
      <w:ind w:left="6050"/>
      <w:jc w:val="left"/>
    </w:pPr>
    <w:rPr>
      <w:sz w:val="24"/>
      <w:szCs w:val="24"/>
      <w:lang w:val="de-AT"/>
    </w:rPr>
  </w:style>
  <w:style w:type="character" w:customStyle="1" w:styleId="DateChar">
    <w:name w:val="Date Char"/>
    <w:basedOn w:val="DefaultParagraphFont"/>
    <w:link w:val="Date"/>
    <w:rPr>
      <w:sz w:val="24"/>
      <w:szCs w:val="24"/>
      <w:lang w:val="de-AT"/>
    </w:rPr>
  </w:style>
  <w:style w:type="paragraph" w:customStyle="1" w:styleId="Block">
    <w:name w:val="Block"/>
    <w:basedOn w:val="Normal"/>
    <w:uiPriority w:val="1"/>
    <w:pPr>
      <w:widowControl/>
      <w:spacing w:after="360" w:line="300" w:lineRule="auto"/>
    </w:pPr>
    <w:rPr>
      <w:rFonts w:eastAsia="Times New Roman"/>
      <w:sz w:val="24"/>
      <w:szCs w:val="20"/>
    </w:rPr>
  </w:style>
  <w:style w:type="paragraph" w:customStyle="1" w:styleId="BlockVOR">
    <w:name w:val="Block+VOR"/>
    <w:basedOn w:val="Block"/>
    <w:next w:val="Block"/>
    <w:uiPriority w:val="1"/>
    <w:pPr>
      <w:spacing w:before="360"/>
    </w:pPr>
  </w:style>
  <w:style w:type="paragraph" w:customStyle="1" w:styleId="GZklein">
    <w:name w:val="GZ klein"/>
    <w:basedOn w:val="GZ"/>
    <w:uiPriority w:val="47"/>
    <w:rPr>
      <w:sz w:val="18"/>
    </w:rPr>
  </w:style>
  <w:style w:type="paragraph" w:customStyle="1" w:styleId="Zitat-klein">
    <w:name w:val="Zitat-klein"/>
    <w:basedOn w:val="Normal"/>
    <w:next w:val="Normal"/>
    <w:uiPriority w:val="20"/>
    <w:pPr>
      <w:widowControl/>
      <w:suppressAutoHyphens/>
      <w:spacing w:after="360" w:line="300" w:lineRule="auto"/>
      <w:ind w:left="397"/>
      <w:jc w:val="left"/>
    </w:pPr>
    <w:rPr>
      <w:sz w:val="24"/>
      <w:szCs w:val="24"/>
    </w:rPr>
  </w:style>
  <w:style w:type="numbering" w:customStyle="1" w:styleId="ImportedStyle3">
    <w:name w:val="Imported Style 3"/>
    <w:pPr>
      <w:numPr>
        <w:numId w:val="13"/>
      </w:numPr>
    </w:pPr>
  </w:style>
  <w:style w:type="numbering" w:customStyle="1" w:styleId="ImportedStyle5">
    <w:name w:val="Imported Style 5"/>
    <w:pPr>
      <w:numPr>
        <w:numId w:val="14"/>
      </w:numPr>
    </w:pPr>
  </w:style>
  <w:style w:type="paragraph" w:styleId="BodyText">
    <w:name w:val="Body Text"/>
    <w:link w:val="BodyTextChar"/>
    <w:uiPriority w:val="1"/>
    <w:qFormat/>
    <w:pPr>
      <w:widowControl w:val="0"/>
      <w:pBdr>
        <w:top w:val="nil"/>
        <w:left w:val="nil"/>
        <w:bottom w:val="nil"/>
        <w:right w:val="nil"/>
        <w:between w:val="nil"/>
        <w:bar w:val="nil"/>
      </w:pBdr>
    </w:pPr>
    <w:rPr>
      <w:rFonts w:ascii="Cambria" w:eastAsia="Cambria" w:hAnsi="Cambria" w:cs="Cambria"/>
      <w:color w:val="000000"/>
      <w:u w:color="000000"/>
      <w:bdr w:val="nil"/>
      <w:lang w:val="en-US"/>
    </w:rPr>
  </w:style>
  <w:style w:type="character" w:customStyle="1" w:styleId="BodyTextChar">
    <w:name w:val="Body Text Char"/>
    <w:basedOn w:val="DefaultParagraphFont"/>
    <w:link w:val="BodyText"/>
    <w:uiPriority w:val="1"/>
    <w:rPr>
      <w:rFonts w:ascii="Cambria" w:eastAsia="Cambria" w:hAnsi="Cambria" w:cs="Cambria"/>
      <w:color w:val="000000"/>
      <w:u w:color="000000"/>
      <w:bdr w:val="nil"/>
      <w:lang w:val="en-US"/>
    </w:rPr>
  </w:style>
  <w:style w:type="paragraph" w:customStyle="1" w:styleId="Default">
    <w:name w:val="Default"/>
    <w:pPr>
      <w:autoSpaceDE w:val="0"/>
      <w:autoSpaceDN w:val="0"/>
      <w:adjustRightInd w:val="0"/>
    </w:pPr>
    <w:rPr>
      <w:color w:val="000000"/>
      <w:sz w:val="24"/>
      <w:szCs w:val="24"/>
      <w:lang w:val="en-US"/>
    </w:rPr>
  </w:style>
  <w:style w:type="paragraph" w:customStyle="1" w:styleId="TableParagraph">
    <w:name w:val="Table Paragraph"/>
    <w:basedOn w:val="Normal"/>
    <w:uiPriority w:val="1"/>
    <w:pPr>
      <w:autoSpaceDE w:val="0"/>
      <w:autoSpaceDN w:val="0"/>
      <w:ind w:left="391"/>
      <w:jc w:val="left"/>
    </w:pPr>
    <w:rPr>
      <w:rFonts w:ascii="Calibri" w:eastAsia="Calibri" w:hAnsi="Calibri" w:cs="Calibri"/>
      <w:lang w:val="en-US"/>
    </w:rPr>
  </w:style>
  <w:style w:type="character" w:customStyle="1" w:styleId="eop">
    <w:name w:val="eop"/>
    <w:basedOn w:val="DefaultParagraphFont"/>
  </w:style>
  <w:style w:type="paragraph" w:customStyle="1" w:styleId="paragraph">
    <w:name w:val="paragraph"/>
    <w:basedOn w:val="Normal"/>
    <w:pPr>
      <w:widowControl/>
      <w:spacing w:before="100" w:beforeAutospacing="1" w:after="100" w:afterAutospacing="1"/>
      <w:jc w:val="left"/>
    </w:pPr>
    <w:rPr>
      <w:rFonts w:eastAsia="Times New Roman"/>
      <w:sz w:val="24"/>
      <w:szCs w:val="24"/>
      <w:lang w:eastAsia="en-GB"/>
    </w:rPr>
  </w:style>
  <w:style w:type="numbering" w:customStyle="1" w:styleId="ImportedStyle40">
    <w:name w:val="Imported Style 4.0"/>
    <w:pPr>
      <w:numPr>
        <w:numId w:val="15"/>
      </w:numPr>
    </w:pPr>
  </w:style>
  <w:style w:type="table" w:styleId="GridTable1Light-Accent2">
    <w:name w:val="Grid Table 1 Light Accent 2"/>
    <w:basedOn w:val="TableNormal"/>
    <w:uiPriority w:val="46"/>
    <w:tblPr>
      <w:tblStyleRowBandSize w:val="1"/>
      <w:tblStyleColBandSize w:val="1"/>
      <w:tblBorders>
        <w:top w:val="single" w:sz="4" w:space="0" w:color="FFFFFF" w:themeColor="accent2" w:themeTint="66"/>
        <w:left w:val="single" w:sz="4" w:space="0" w:color="FFFFFF" w:themeColor="accent2" w:themeTint="66"/>
        <w:bottom w:val="single" w:sz="4" w:space="0" w:color="FFFFFF" w:themeColor="accent2" w:themeTint="66"/>
        <w:right w:val="single" w:sz="4" w:space="0" w:color="FFFFFF" w:themeColor="accent2" w:themeTint="66"/>
        <w:insideH w:val="single" w:sz="4" w:space="0" w:color="FFFFFF" w:themeColor="accent2" w:themeTint="66"/>
        <w:insideV w:val="single" w:sz="4" w:space="0" w:color="FFFFFF" w:themeColor="accent2" w:themeTint="66"/>
      </w:tblBorders>
    </w:tblPr>
    <w:tblStylePr w:type="firstRow">
      <w:rPr>
        <w:b/>
        <w:bCs/>
      </w:rPr>
      <w:tblPr/>
      <w:tcPr>
        <w:tcBorders>
          <w:bottom w:val="single" w:sz="12" w:space="0" w:color="FFFFFF" w:themeColor="accent2" w:themeTint="99"/>
        </w:tcBorders>
      </w:tcPr>
    </w:tblStylePr>
    <w:tblStylePr w:type="lastRow">
      <w:rPr>
        <w:b/>
        <w:bCs/>
      </w:rPr>
      <w:tblPr/>
      <w:tcPr>
        <w:tcBorders>
          <w:top w:val="double" w:sz="2" w:space="0" w:color="FFFFFF" w:themeColor="accent2" w:themeTint="99"/>
        </w:tcBorders>
      </w:tcPr>
    </w:tblStylePr>
    <w:tblStylePr w:type="firstCol">
      <w:rPr>
        <w:b/>
        <w:bCs/>
      </w:rPr>
    </w:tblStylePr>
    <w:tblStylePr w:type="lastCol">
      <w:rPr>
        <w:b/>
        <w:bCs/>
      </w:rPr>
    </w:tblStylePr>
  </w:style>
  <w:style w:type="character" w:customStyle="1" w:styleId="cf01">
    <w:name w:val="cf01"/>
    <w:basedOn w:val="DefaultParagraphFont"/>
    <w:rPr>
      <w:rFonts w:ascii="Segoe UI" w:hAnsi="Segoe UI" w:cs="Segoe UI" w:hint="default"/>
    </w:rPr>
  </w:style>
  <w:style w:type="character" w:customStyle="1" w:styleId="NotedebasdepageCar">
    <w:name w:val="Note de bas de page Car"/>
    <w:aliases w:val="Footnote Text Char2 Car,Footnote Text Char1 Char Car,Footnote Text Char3 Char Char Car,Footnote Text Char2 Char Char Char Car,Footnote Text Char1 Char1 Char Char Char Car,ft Char1 Char Char Char Char Car,ft Car,f Car"/>
    <w:basedOn w:val="DefaultParagraphFont"/>
    <w:uiPriority w:val="99"/>
    <w:locked/>
    <w:rPr>
      <w:rFonts w:ascii="SimSun" w:eastAsia="SimSun" w:hAnsi="SimSun"/>
    </w:rPr>
  </w:style>
  <w:style w:type="numbering" w:customStyle="1" w:styleId="Style1">
    <w:name w:val="Style1"/>
    <w:uiPriority w:val="99"/>
    <w:pPr>
      <w:numPr>
        <w:numId w:val="19"/>
      </w:numPr>
    </w:p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8017">
      <w:bodyDiv w:val="1"/>
      <w:marLeft w:val="0"/>
      <w:marRight w:val="0"/>
      <w:marTop w:val="0"/>
      <w:marBottom w:val="0"/>
      <w:divBdr>
        <w:top w:val="none" w:sz="0" w:space="0" w:color="auto"/>
        <w:left w:val="none" w:sz="0" w:space="0" w:color="auto"/>
        <w:bottom w:val="none" w:sz="0" w:space="0" w:color="auto"/>
        <w:right w:val="none" w:sz="0" w:space="0" w:color="auto"/>
      </w:divBdr>
    </w:div>
    <w:div w:id="33530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tf-gafi.org/publications/fatfrecommendations/documents/rba-money-or-value-transfer.html" TargetMode="External"/><Relationship Id="rId18" Type="http://schemas.openxmlformats.org/officeDocument/2006/relationships/hyperlink" Target="http://www.fatf-gafi.org/publications/fatfrecommendations/documents/rba-npps-2013.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fatf-gafi.org/publications/fatfrecommendations/documents/rba-securities-sector.html" TargetMode="External"/><Relationship Id="rId17" Type="http://schemas.openxmlformats.org/officeDocument/2006/relationships/hyperlink" Target="https://www.fatf-gafi.org/documents/documents/rba-tcsp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tf-gafi.org/documents/riskbasedapproach/documents/rba-accounting-profession.html?hf=10&amp;b=0&amp;s=desc(fatf_releasedate)" TargetMode="External"/><Relationship Id="rId20" Type="http://schemas.openxmlformats.org/officeDocument/2006/relationships/hyperlink" Target="https://www.fatf-gafi.org/publications/fatfrecommendations/documents/guidance-rba-supervisio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main.oecd.org\Homedir2\kumar_a\FATF\PDG\Beneficial%20Ownership\R.24\Guidance\Bern\fatf-gafi.org\media\fatf\documents\recommendations\pdfs\rba-life-insurance.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atf-gafi.org/publications/fatfrecommendations/documents/rba-legal-professionals.html" TargetMode="External"/><Relationship Id="rId23" Type="http://schemas.openxmlformats.org/officeDocument/2006/relationships/footer" Target="footer1.xml"/><Relationship Id="rId10" Type="http://schemas.openxmlformats.org/officeDocument/2006/relationships/hyperlink" Target="https://www.fatf-gafi.org/documents/riskbasedapproach/documents/risk-based-approach-banking-sector.html?hf=10&amp;b=0&amp;s=desc(fatf_releasedate)" TargetMode="External"/><Relationship Id="rId19" Type="http://schemas.openxmlformats.org/officeDocument/2006/relationships/hyperlink" Target="https://www.fatf-gafi.org/publications/fatfrecommendations/documents/guidance-rba-real-estate-sector.html" TargetMode="External"/><Relationship Id="rId4" Type="http://schemas.openxmlformats.org/officeDocument/2006/relationships/styles" Target="styles.xml"/><Relationship Id="rId9" Type="http://schemas.openxmlformats.org/officeDocument/2006/relationships/hyperlink" Target="mailto:FATF.Publicconsultation@fatf-gafi.org" TargetMode="External"/><Relationship Id="rId14" Type="http://schemas.openxmlformats.org/officeDocument/2006/relationships/hyperlink" Target="https://www.fatf-gafi.org/publications/fatfrecommendations/documents/guidance-rba-virtual-assets-2021.html"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star.worldbank.org/" TargetMode="External"/><Relationship Id="rId3" Type="http://schemas.openxmlformats.org/officeDocument/2006/relationships/hyperlink" Target="https://star.worldbank.org/" TargetMode="External"/><Relationship Id="rId7" Type="http://schemas.openxmlformats.org/officeDocument/2006/relationships/hyperlink" Target="https://eur02.safelinks.protection.outlook.com/?url=https%3A%2F%2Fwww.imf.org%2Fen%2FTopics%2Fgovernance-and-anti-corruption%2Fimplementation-of-governance-measures-in-pandemic-related-spending-may-2022&amp;data=05%7C01%7CAshish.KUMAR%40fatf-gafi.org%7C139a4698199b439af6d308da9ae76cf2%7Cac41c7d41f61460db0f4fc925a2b471c%7C0%7C1%7C637992616014240118%7CUnknown%7CTWFpbGZsb3d8eyJWIjoiMC4wLjAwMDAiLCJQIjoiV2luMzIiLCJBTiI6Ik1haWwiLCJXVCI6Mn0%3D%7C3000%7C%7C%7C&amp;sdata=GBKRr4QPjq3cvtlFYxR1apJ8Lh9jRx720yGLgLIWMpQ%3D&amp;reserved=0" TargetMode="External"/><Relationship Id="rId2" Type="http://schemas.openxmlformats.org/officeDocument/2006/relationships/hyperlink" Target="https://www.gov.uk/government/publications/g7-finance-ministers-meeting-june-2021-communique/g7-factsheet-beneficial-ownership" TargetMode="External"/><Relationship Id="rId1" Type="http://schemas.openxmlformats.org/officeDocument/2006/relationships/hyperlink" Target="https://www.fatf-gafi.org/publications/fatfrecommendations/documents/r24-statement-march-2022.html" TargetMode="External"/><Relationship Id="rId6" Type="http://schemas.openxmlformats.org/officeDocument/2006/relationships/hyperlink" Target="https://www.imf.org/-/media/Files/Publications/PP/2020/English/PPEA2020033.ashx" TargetMode="External"/><Relationship Id="rId5" Type="http://schemas.openxmlformats.org/officeDocument/2006/relationships/hyperlink" Target="https://www.worldbank.org/en/topic/financialmarketintegrity/brief/national-money-laundering-and-terrorist-financing-risk-assessment-toolkit-disclaimer-and-terms-of-use" TargetMode="External"/><Relationship Id="rId4" Type="http://schemas.openxmlformats.org/officeDocument/2006/relationships/hyperlink" Target="https://www.oecd.org/tax/transparency/beneficial-ownership-toolkit.pdf" TargetMode="External"/><Relationship Id="rId9" Type="http://schemas.openxmlformats.org/officeDocument/2006/relationships/hyperlink" Target="https://star.worldbank.org/publications/signatures-sale-how-nominee-services-shell-companies-are-abused-conceal-benefic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r e f - c o t e s   x m l n s : x s d = " h t t p : / / w w w . w 3 . o r g / 2 0 0 1 / X M L S c h e m a "   x m l n s : x s i = " h t t p : / / w w w . w 3 . o r g / 2 0 0 1 / X M L S c h e m a - i n s t a n c e "   V e r s i o n = " 3 . 5 "   x m l n s = " h t t p : / / w w w . o e c d . o r g / o n e a u t h o r / 2 0 1 6 / c o t e s " >  
     < c o t e   d e c i s i o n T y p e = " I n O l i s " > F A T F / P D G ( 2 0 2 2 ) 8 / R E V 1 < / c o t e >  
 < / r e f - c o t e s > 
</file>

<file path=customXml/item2.xml><?xml version="1.0" encoding="utf-8"?>
<b:Sources xmlns:b="http://schemas.openxmlformats.org/officeDocument/2006/bibliography" xmlns="http://schemas.openxmlformats.org/officeDocument/2006/bibliography" SelectedStyle="\oecd-en.xsl" StyleName="OECD English" Version="20220221"/>
</file>

<file path=customXml/itemProps1.xml><?xml version="1.0" encoding="utf-8"?>
<ds:datastoreItem xmlns:ds="http://schemas.openxmlformats.org/officeDocument/2006/customXml" ds:itemID="{45A407E8-AB89-4608-AB8C-1047DFBDCC4B}">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01CB984F-93C6-4561-8365-4E808DAF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 ODPub.dotx</Template>
  <TotalTime>0</TotalTime>
  <Pages>5</Pages>
  <Words>22020</Words>
  <Characters>127278</Characters>
  <Application>Microsoft Office Word</Application>
  <DocSecurity>0</DocSecurity>
  <Lines>2020</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2022-10-25T12:54:00Z</dcterms:created>
  <dcterms:modified xsi:type="dcterms:W3CDTF">2022-10-25T12:59:00Z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Name">
    <vt:lpwstr>ONE Author ODPub.dotx</vt:lpwstr>
  </property>
  <property fmtid="{D5CDD505-2E9C-101B-9397-08002B2CF9AE}" pid="3" name="OECDTemplateLocation">
    <vt:lpwstr>W:\Office2016\Workgroup Templates</vt:lpwstr>
  </property>
  <property fmtid="{D5CDD505-2E9C-101B-9397-08002B2CF9AE}" pid="4" name="OECDDocumentId">
    <vt:lpwstr>DB4A0C59F5368FA62843DF1DBA63051A28AFB4498854E92A14BD36BDFBC78FE0</vt:lpwstr>
  </property>
  <property fmtid="{D5CDD505-2E9C-101B-9397-08002B2CF9AE}" pid="5" name="OECDTemplateVersion">
    <vt:lpwstr>3.22</vt:lpwstr>
  </property>
</Properties>
</file>